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EA4C5E">
      <w:pPr>
        <w:widowControl w:val="0"/>
        <w:kinsoku/>
        <w:autoSpaceDE/>
        <w:autoSpaceDN/>
        <w:adjustRightInd/>
        <w:snapToGrid/>
        <w:spacing w:line="360" w:lineRule="auto"/>
        <w:ind w:left="-143" w:leftChars="-171" w:right="-147" w:rightChars="-70" w:hanging="216" w:hangingChars="49"/>
        <w:jc w:val="center"/>
        <w:textAlignment w:val="auto"/>
        <w:rPr>
          <w:rFonts w:ascii="宋体" w:hAnsi="宋体" w:eastAsia="宋体"/>
          <w:b/>
          <w:color w:val="auto"/>
          <w:sz w:val="44"/>
          <w:szCs w:val="44"/>
          <w:shd w:val="clear" w:color="auto" w:fill="F9F9F9"/>
          <w:lang w:eastAsia="zh-CN"/>
        </w:rPr>
      </w:pPr>
    </w:p>
    <w:p w14:paraId="15C8BED2">
      <w:pPr>
        <w:pStyle w:val="29"/>
        <w:rPr>
          <w:rFonts w:ascii="宋体" w:hAnsi="宋体" w:eastAsia="宋体"/>
          <w:b/>
          <w:color w:val="auto"/>
          <w:sz w:val="44"/>
          <w:szCs w:val="44"/>
          <w:shd w:val="clear" w:color="auto" w:fill="F9F9F9"/>
          <w:lang w:eastAsia="zh-CN"/>
        </w:rPr>
      </w:pPr>
    </w:p>
    <w:p w14:paraId="27C71E94">
      <w:pPr>
        <w:pStyle w:val="29"/>
        <w:rPr>
          <w:rFonts w:ascii="宋体" w:hAnsi="宋体" w:eastAsia="宋体"/>
          <w:b/>
          <w:color w:val="auto"/>
          <w:sz w:val="44"/>
          <w:szCs w:val="44"/>
          <w:shd w:val="clear" w:color="auto" w:fill="F9F9F9"/>
          <w:lang w:eastAsia="zh-CN"/>
        </w:rPr>
      </w:pPr>
    </w:p>
    <w:p w14:paraId="1128B66C">
      <w:pPr>
        <w:pStyle w:val="29"/>
        <w:jc w:val="center"/>
        <w:rPr>
          <w:rFonts w:hint="eastAsia"/>
          <w:color w:val="auto"/>
          <w:sz w:val="44"/>
          <w:szCs w:val="48"/>
          <w:lang w:val="en-US" w:eastAsia="zh-CN"/>
        </w:rPr>
      </w:pPr>
      <w:r>
        <w:rPr>
          <w:rFonts w:hint="eastAsia"/>
          <w:color w:val="auto"/>
          <w:sz w:val="44"/>
          <w:szCs w:val="48"/>
          <w:lang w:val="en-US" w:eastAsia="zh-CN"/>
        </w:rPr>
        <w:t>河南省体育彩票管理中心信阳分中心</w:t>
      </w:r>
    </w:p>
    <w:p w14:paraId="35FA5436">
      <w:pPr>
        <w:pStyle w:val="29"/>
        <w:jc w:val="center"/>
        <w:rPr>
          <w:rFonts w:hint="default"/>
          <w:color w:val="auto"/>
          <w:sz w:val="44"/>
          <w:szCs w:val="48"/>
          <w:lang w:val="en-US" w:eastAsia="zh-CN"/>
        </w:rPr>
      </w:pPr>
      <w:r>
        <w:rPr>
          <w:rFonts w:hint="eastAsia"/>
          <w:color w:val="auto"/>
          <w:sz w:val="44"/>
          <w:szCs w:val="48"/>
          <w:lang w:val="en-US" w:eastAsia="zh-CN"/>
        </w:rPr>
        <w:t>专营实体店店招改造项目</w:t>
      </w:r>
    </w:p>
    <w:p w14:paraId="193401A5">
      <w:pPr>
        <w:widowControl w:val="0"/>
        <w:kinsoku/>
        <w:autoSpaceDE/>
        <w:autoSpaceDN/>
        <w:adjustRightInd/>
        <w:snapToGrid/>
        <w:spacing w:line="240" w:lineRule="atLeast"/>
        <w:jc w:val="center"/>
        <w:textAlignment w:val="auto"/>
        <w:rPr>
          <w:rFonts w:hint="eastAsia" w:ascii="宋体" w:hAnsi="宋体" w:eastAsia="宋体" w:cs="Times New Roman"/>
          <w:b/>
          <w:snapToGrid/>
          <w:color w:val="auto"/>
          <w:kern w:val="2"/>
          <w:sz w:val="110"/>
          <w:szCs w:val="110"/>
          <w:lang w:eastAsia="zh-CN"/>
        </w:rPr>
      </w:pPr>
    </w:p>
    <w:p w14:paraId="30B90E62">
      <w:pPr>
        <w:widowControl w:val="0"/>
        <w:kinsoku/>
        <w:autoSpaceDE/>
        <w:autoSpaceDN/>
        <w:adjustRightInd/>
        <w:snapToGrid/>
        <w:spacing w:line="240" w:lineRule="atLeast"/>
        <w:jc w:val="center"/>
        <w:textAlignment w:val="auto"/>
        <w:rPr>
          <w:rFonts w:ascii="宋体" w:hAnsi="宋体" w:eastAsia="宋体" w:cs="Times New Roman"/>
          <w:b/>
          <w:snapToGrid/>
          <w:color w:val="auto"/>
          <w:kern w:val="2"/>
          <w:sz w:val="110"/>
          <w:szCs w:val="110"/>
          <w:lang w:eastAsia="zh-CN"/>
        </w:rPr>
      </w:pPr>
      <w:r>
        <w:rPr>
          <w:rFonts w:hint="eastAsia" w:ascii="宋体" w:hAnsi="宋体" w:eastAsia="宋体" w:cs="Times New Roman"/>
          <w:b/>
          <w:snapToGrid/>
          <w:color w:val="auto"/>
          <w:kern w:val="2"/>
          <w:sz w:val="110"/>
          <w:szCs w:val="110"/>
          <w:lang w:eastAsia="zh-CN"/>
        </w:rPr>
        <w:t>自主磋商文件</w:t>
      </w:r>
    </w:p>
    <w:p w14:paraId="272DE1B9">
      <w:pPr>
        <w:widowControl w:val="0"/>
        <w:kinsoku/>
        <w:autoSpaceDE/>
        <w:autoSpaceDN/>
        <w:adjustRightInd/>
        <w:snapToGrid/>
        <w:spacing w:line="240" w:lineRule="atLeast"/>
        <w:ind w:firstLine="2570" w:firstLineChars="800"/>
        <w:jc w:val="left"/>
        <w:textAlignment w:val="auto"/>
        <w:rPr>
          <w:rFonts w:ascii="宋体" w:hAnsi="宋体" w:eastAsia="宋体" w:cs="Times New Roman"/>
          <w:b/>
          <w:snapToGrid/>
          <w:color w:val="auto"/>
          <w:kern w:val="2"/>
          <w:sz w:val="32"/>
          <w:szCs w:val="32"/>
          <w:lang w:eastAsia="zh-CN"/>
        </w:rPr>
      </w:pPr>
      <w:r>
        <w:rPr>
          <w:rFonts w:hint="eastAsia" w:ascii="宋体" w:hAnsi="宋体" w:eastAsia="宋体" w:cs="Times New Roman"/>
          <w:b/>
          <w:snapToGrid/>
          <w:color w:val="auto"/>
          <w:kern w:val="2"/>
          <w:sz w:val="32"/>
          <w:szCs w:val="32"/>
          <w:lang w:eastAsia="zh-CN"/>
        </w:rPr>
        <w:t>项目编号：</w:t>
      </w:r>
      <w:r>
        <w:rPr>
          <w:rFonts w:hint="eastAsia" w:ascii="宋体" w:hAnsi="宋体" w:eastAsia="宋体" w:cs="Times New Roman"/>
          <w:b/>
          <w:snapToGrid/>
          <w:color w:val="auto"/>
          <w:kern w:val="2"/>
          <w:sz w:val="32"/>
          <w:szCs w:val="32"/>
          <w:lang w:val="en-US" w:eastAsia="zh-CN"/>
        </w:rPr>
        <w:t>XYTCCS-2024-05</w:t>
      </w:r>
    </w:p>
    <w:p w14:paraId="205FF318">
      <w:pPr>
        <w:pStyle w:val="29"/>
        <w:rPr>
          <w:rFonts w:ascii="宋体" w:hAnsi="宋体" w:eastAsia="宋体" w:cs="Times New Roman"/>
          <w:b/>
          <w:snapToGrid/>
          <w:color w:val="auto"/>
          <w:kern w:val="2"/>
          <w:sz w:val="32"/>
          <w:szCs w:val="32"/>
          <w:lang w:eastAsia="zh-CN"/>
        </w:rPr>
      </w:pPr>
    </w:p>
    <w:p w14:paraId="49A177D1">
      <w:pPr>
        <w:pStyle w:val="29"/>
        <w:rPr>
          <w:rFonts w:ascii="宋体" w:hAnsi="宋体" w:eastAsia="宋体" w:cs="Times New Roman"/>
          <w:b/>
          <w:snapToGrid/>
          <w:color w:val="auto"/>
          <w:kern w:val="2"/>
          <w:sz w:val="32"/>
          <w:szCs w:val="32"/>
          <w:lang w:eastAsia="zh-CN"/>
        </w:rPr>
      </w:pPr>
    </w:p>
    <w:p w14:paraId="36410E34">
      <w:pPr>
        <w:pStyle w:val="29"/>
        <w:rPr>
          <w:rFonts w:ascii="宋体" w:hAnsi="宋体" w:eastAsia="宋体" w:cs="Times New Roman"/>
          <w:b/>
          <w:snapToGrid/>
          <w:color w:val="auto"/>
          <w:kern w:val="2"/>
          <w:sz w:val="32"/>
          <w:szCs w:val="32"/>
          <w:lang w:eastAsia="zh-CN"/>
        </w:rPr>
      </w:pPr>
    </w:p>
    <w:p w14:paraId="79090096">
      <w:pPr>
        <w:pStyle w:val="29"/>
        <w:rPr>
          <w:rFonts w:ascii="宋体" w:hAnsi="宋体" w:eastAsia="宋体" w:cs="Times New Roman"/>
          <w:b/>
          <w:snapToGrid/>
          <w:color w:val="auto"/>
          <w:kern w:val="2"/>
          <w:sz w:val="32"/>
          <w:szCs w:val="32"/>
          <w:lang w:eastAsia="zh-CN"/>
        </w:rPr>
      </w:pPr>
    </w:p>
    <w:p w14:paraId="01A53614">
      <w:pPr>
        <w:widowControl w:val="0"/>
        <w:kinsoku/>
        <w:autoSpaceDE/>
        <w:autoSpaceDN/>
        <w:adjustRightInd/>
        <w:snapToGrid/>
        <w:spacing w:line="480" w:lineRule="auto"/>
        <w:ind w:right="-229" w:rightChars="-109" w:firstLine="630" w:firstLineChars="196"/>
        <w:jc w:val="both"/>
        <w:textAlignment w:val="auto"/>
        <w:rPr>
          <w:rFonts w:hint="eastAsia" w:ascii="宋体" w:hAnsi="宋体" w:eastAsia="宋体" w:cs="Times New Roman"/>
          <w:b/>
          <w:snapToGrid/>
          <w:color w:val="auto"/>
          <w:kern w:val="2"/>
          <w:sz w:val="32"/>
          <w:szCs w:val="32"/>
          <w:lang w:eastAsia="zh-CN"/>
        </w:rPr>
      </w:pPr>
    </w:p>
    <w:p w14:paraId="1A8106A0">
      <w:pPr>
        <w:widowControl w:val="0"/>
        <w:kinsoku/>
        <w:autoSpaceDE/>
        <w:autoSpaceDN/>
        <w:adjustRightInd/>
        <w:snapToGrid/>
        <w:spacing w:line="480" w:lineRule="auto"/>
        <w:ind w:right="-229" w:rightChars="-109"/>
        <w:jc w:val="center"/>
        <w:textAlignment w:val="auto"/>
        <w:rPr>
          <w:rFonts w:hint="default" w:ascii="宋体" w:hAnsi="宋体" w:eastAsia="宋体" w:cs="Times New Roman"/>
          <w:b/>
          <w:snapToGrid/>
          <w:color w:val="auto"/>
          <w:spacing w:val="-14"/>
          <w:w w:val="90"/>
          <w:kern w:val="2"/>
          <w:sz w:val="32"/>
          <w:szCs w:val="32"/>
          <w:u w:val="single"/>
          <w:lang w:val="en-US" w:eastAsia="zh-CN"/>
        </w:rPr>
      </w:pPr>
      <w:r>
        <w:rPr>
          <w:rFonts w:hint="eastAsia" w:ascii="宋体" w:hAnsi="宋体" w:eastAsia="宋体" w:cs="Times New Roman"/>
          <w:b/>
          <w:snapToGrid/>
          <w:color w:val="auto"/>
          <w:kern w:val="2"/>
          <w:sz w:val="32"/>
          <w:szCs w:val="32"/>
          <w:lang w:eastAsia="zh-CN"/>
        </w:rPr>
        <w:t>采购人：</w:t>
      </w:r>
      <w:r>
        <w:rPr>
          <w:rFonts w:hint="eastAsia" w:ascii="宋体" w:hAnsi="宋体" w:eastAsia="宋体" w:cs="Times New Roman"/>
          <w:b/>
          <w:snapToGrid/>
          <w:color w:val="auto"/>
          <w:kern w:val="2"/>
          <w:sz w:val="32"/>
          <w:szCs w:val="32"/>
          <w:u w:val="single"/>
          <w:lang w:val="en-US" w:eastAsia="zh-CN"/>
        </w:rPr>
        <w:t xml:space="preserve"> 河南省体育彩票管理中心信阳分中心</w:t>
      </w:r>
    </w:p>
    <w:p w14:paraId="5B9EBE20">
      <w:pPr>
        <w:widowControl w:val="0"/>
        <w:kinsoku/>
        <w:autoSpaceDE/>
        <w:autoSpaceDN/>
        <w:adjustRightInd/>
        <w:snapToGrid/>
        <w:spacing w:line="480" w:lineRule="auto"/>
        <w:ind w:left="0" w:leftChars="0" w:firstLine="2528" w:firstLineChars="787"/>
        <w:jc w:val="both"/>
        <w:textAlignment w:val="auto"/>
        <w:rPr>
          <w:rFonts w:ascii="宋体" w:hAnsi="宋体" w:eastAsia="宋体" w:cs="Times New Roman"/>
          <w:b/>
          <w:snapToGrid/>
          <w:color w:val="auto"/>
          <w:kern w:val="2"/>
          <w:sz w:val="32"/>
          <w:szCs w:val="32"/>
          <w:lang w:eastAsia="zh-CN"/>
        </w:rPr>
      </w:pPr>
      <w:r>
        <w:rPr>
          <w:rFonts w:hint="eastAsia" w:ascii="宋体" w:hAnsi="宋体" w:eastAsia="宋体" w:cs="Times New Roman"/>
          <w:b/>
          <w:snapToGrid/>
          <w:color w:val="auto"/>
          <w:kern w:val="2"/>
          <w:sz w:val="32"/>
          <w:szCs w:val="32"/>
          <w:lang w:eastAsia="zh-CN"/>
        </w:rPr>
        <w:t>日  期：二〇二四年</w:t>
      </w:r>
      <w:r>
        <w:rPr>
          <w:rFonts w:hint="eastAsia" w:ascii="宋体" w:hAnsi="宋体" w:eastAsia="宋体" w:cs="Times New Roman"/>
          <w:b/>
          <w:snapToGrid/>
          <w:color w:val="auto"/>
          <w:kern w:val="2"/>
          <w:sz w:val="32"/>
          <w:szCs w:val="32"/>
          <w:u w:val="single"/>
          <w:lang w:val="en-US" w:eastAsia="zh-CN"/>
        </w:rPr>
        <w:t xml:space="preserve">  10  </w:t>
      </w:r>
      <w:r>
        <w:rPr>
          <w:rFonts w:hint="eastAsia" w:ascii="宋体" w:hAnsi="宋体" w:eastAsia="宋体" w:cs="Times New Roman"/>
          <w:b/>
          <w:snapToGrid/>
          <w:color w:val="auto"/>
          <w:kern w:val="2"/>
          <w:sz w:val="32"/>
          <w:szCs w:val="32"/>
          <w:lang w:eastAsia="zh-CN"/>
        </w:rPr>
        <w:t>月编制</w:t>
      </w:r>
    </w:p>
    <w:p w14:paraId="738C5024">
      <w:pPr>
        <w:rPr>
          <w:color w:val="auto"/>
          <w:lang w:eastAsia="zh-CN"/>
        </w:rPr>
      </w:pPr>
    </w:p>
    <w:p w14:paraId="694FC660">
      <w:pPr>
        <w:kinsoku/>
        <w:autoSpaceDE/>
        <w:autoSpaceDN/>
        <w:adjustRightInd/>
        <w:snapToGrid/>
        <w:textAlignment w:val="auto"/>
        <w:rPr>
          <w:color w:val="auto"/>
          <w:lang w:eastAsia="zh-CN"/>
        </w:rPr>
      </w:pPr>
      <w:r>
        <w:rPr>
          <w:color w:val="auto"/>
          <w:lang w:eastAsia="zh-CN"/>
        </w:rPr>
        <w:br w:type="page"/>
      </w:r>
    </w:p>
    <w:p w14:paraId="778736A4">
      <w:pPr>
        <w:jc w:val="center"/>
        <w:rPr>
          <w:b/>
          <w:color w:val="auto"/>
          <w:sz w:val="32"/>
          <w:szCs w:val="32"/>
          <w:lang w:eastAsia="zh-CN"/>
        </w:rPr>
      </w:pPr>
      <w:r>
        <w:rPr>
          <w:rFonts w:hint="eastAsia"/>
          <w:b/>
          <w:color w:val="auto"/>
          <w:sz w:val="32"/>
          <w:szCs w:val="32"/>
          <w:lang w:eastAsia="zh-CN"/>
        </w:rPr>
        <w:t>目录</w:t>
      </w:r>
    </w:p>
    <w:sdt>
      <w:sdtPr>
        <w:rPr>
          <w:color w:val="auto"/>
          <w:lang w:val="zh-CN"/>
        </w:rPr>
        <w:id w:val="16781579"/>
        <w:docPartObj>
          <w:docPartGallery w:val="Table of Contents"/>
          <w:docPartUnique/>
        </w:docPartObj>
      </w:sdtPr>
      <w:sdtEndPr>
        <w:rPr>
          <w:rFonts w:ascii="宋体" w:hAnsi="宋体" w:eastAsia="宋体"/>
          <w:color w:val="auto"/>
          <w:sz w:val="24"/>
          <w:szCs w:val="24"/>
          <w:lang w:val="en-US" w:eastAsia="zh-CN"/>
        </w:rPr>
      </w:sdtEndPr>
      <w:sdtContent>
        <w:p w14:paraId="69C709DB">
          <w:pPr>
            <w:spacing w:line="480" w:lineRule="auto"/>
            <w:rPr>
              <w:rFonts w:ascii="宋体" w:hAnsi="宋体" w:eastAsia="宋体" w:cs="Arial"/>
              <w:snapToGrid w:val="0"/>
              <w:color w:val="auto"/>
              <w:kern w:val="0"/>
              <w:sz w:val="24"/>
              <w:szCs w:val="24"/>
              <w:lang w:val="en-US" w:eastAsia="zh-CN" w:bidi="ar-SA"/>
            </w:rPr>
          </w:pPr>
          <w:r>
            <w:rPr>
              <w:rFonts w:ascii="宋体" w:hAnsi="宋体" w:eastAsia="宋体"/>
              <w:color w:val="auto"/>
              <w:sz w:val="24"/>
              <w:szCs w:val="24"/>
              <w:lang w:eastAsia="zh-CN"/>
            </w:rPr>
            <w:fldChar w:fldCharType="begin"/>
          </w:r>
          <w:r>
            <w:rPr>
              <w:rFonts w:ascii="宋体" w:hAnsi="宋体" w:eastAsia="宋体"/>
              <w:color w:val="auto"/>
              <w:sz w:val="24"/>
              <w:szCs w:val="24"/>
              <w:lang w:eastAsia="zh-CN"/>
            </w:rPr>
            <w:instrText xml:space="preserve"> TOC \o "1-3" \h \z \u </w:instrText>
          </w:r>
          <w:r>
            <w:rPr>
              <w:rFonts w:ascii="宋体" w:hAnsi="宋体" w:eastAsia="宋体"/>
              <w:color w:val="auto"/>
              <w:sz w:val="24"/>
              <w:szCs w:val="24"/>
              <w:lang w:eastAsia="zh-CN"/>
            </w:rPr>
            <w:fldChar w:fldCharType="separate"/>
          </w:r>
        </w:p>
        <w:p w14:paraId="0066A251">
          <w:pPr>
            <w:pStyle w:val="16"/>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color w:val="auto"/>
              <w:sz w:val="24"/>
              <w:szCs w:val="24"/>
            </w:rPr>
          </w:pPr>
          <w:r>
            <w:rPr>
              <w:rFonts w:ascii="宋体" w:hAnsi="宋体" w:eastAsia="宋体"/>
              <w:color w:val="auto"/>
              <w:sz w:val="24"/>
              <w:szCs w:val="24"/>
              <w:lang w:eastAsia="zh-CN"/>
            </w:rPr>
            <w:fldChar w:fldCharType="begin"/>
          </w:r>
          <w:r>
            <w:rPr>
              <w:rFonts w:ascii="宋体" w:hAnsi="宋体" w:eastAsia="宋体"/>
              <w:color w:val="auto"/>
              <w:sz w:val="24"/>
              <w:szCs w:val="24"/>
              <w:lang w:eastAsia="zh-CN"/>
            </w:rPr>
            <w:instrText xml:space="preserve"> HYPERLINK \l _Toc7212 </w:instrText>
          </w:r>
          <w:r>
            <w:rPr>
              <w:rFonts w:ascii="宋体" w:hAnsi="宋体" w:eastAsia="宋体"/>
              <w:color w:val="auto"/>
              <w:sz w:val="24"/>
              <w:szCs w:val="24"/>
              <w:lang w:eastAsia="zh-CN"/>
            </w:rPr>
            <w:fldChar w:fldCharType="separate"/>
          </w:r>
          <w:r>
            <w:rPr>
              <w:rFonts w:hint="eastAsia"/>
              <w:color w:val="auto"/>
              <w:kern w:val="2"/>
              <w:sz w:val="24"/>
              <w:szCs w:val="24"/>
              <w:lang w:eastAsia="zh-CN"/>
            </w:rPr>
            <w:t>第一章 自主磋商公告</w:t>
          </w:r>
          <w:r>
            <w:rPr>
              <w:color w:val="auto"/>
              <w:sz w:val="24"/>
              <w:szCs w:val="24"/>
            </w:rPr>
            <w:tab/>
          </w:r>
          <w:r>
            <w:rPr>
              <w:color w:val="auto"/>
              <w:sz w:val="24"/>
              <w:szCs w:val="24"/>
            </w:rPr>
            <w:fldChar w:fldCharType="begin"/>
          </w:r>
          <w:r>
            <w:rPr>
              <w:color w:val="auto"/>
              <w:sz w:val="24"/>
              <w:szCs w:val="24"/>
            </w:rPr>
            <w:instrText xml:space="preserve"> PAGEREF _Toc7212 \h </w:instrText>
          </w:r>
          <w:r>
            <w:rPr>
              <w:color w:val="auto"/>
              <w:sz w:val="24"/>
              <w:szCs w:val="24"/>
            </w:rPr>
            <w:fldChar w:fldCharType="separate"/>
          </w:r>
          <w:r>
            <w:rPr>
              <w:color w:val="auto"/>
              <w:sz w:val="24"/>
              <w:szCs w:val="24"/>
            </w:rPr>
            <w:t>2</w:t>
          </w:r>
          <w:r>
            <w:rPr>
              <w:color w:val="auto"/>
              <w:sz w:val="24"/>
              <w:szCs w:val="24"/>
            </w:rPr>
            <w:fldChar w:fldCharType="end"/>
          </w:r>
          <w:r>
            <w:rPr>
              <w:rFonts w:ascii="宋体" w:hAnsi="宋体" w:eastAsia="宋体"/>
              <w:color w:val="auto"/>
              <w:sz w:val="24"/>
              <w:szCs w:val="24"/>
              <w:lang w:eastAsia="zh-CN"/>
            </w:rPr>
            <w:fldChar w:fldCharType="end"/>
          </w:r>
        </w:p>
        <w:p w14:paraId="0AF1BA0C">
          <w:pPr>
            <w:pStyle w:val="16"/>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color w:val="auto"/>
              <w:sz w:val="24"/>
              <w:szCs w:val="24"/>
            </w:rPr>
          </w:pPr>
          <w:r>
            <w:rPr>
              <w:rFonts w:ascii="宋体" w:hAnsi="宋体" w:eastAsia="宋体"/>
              <w:color w:val="auto"/>
              <w:sz w:val="24"/>
              <w:szCs w:val="24"/>
              <w:lang w:eastAsia="zh-CN"/>
            </w:rPr>
            <w:fldChar w:fldCharType="begin"/>
          </w:r>
          <w:r>
            <w:rPr>
              <w:rFonts w:ascii="宋体" w:hAnsi="宋体" w:eastAsia="宋体"/>
              <w:color w:val="auto"/>
              <w:sz w:val="24"/>
              <w:szCs w:val="24"/>
              <w:lang w:eastAsia="zh-CN"/>
            </w:rPr>
            <w:instrText xml:space="preserve"> HYPERLINK \l _Toc2363 </w:instrText>
          </w:r>
          <w:r>
            <w:rPr>
              <w:rFonts w:ascii="宋体" w:hAnsi="宋体" w:eastAsia="宋体"/>
              <w:color w:val="auto"/>
              <w:sz w:val="24"/>
              <w:szCs w:val="24"/>
              <w:lang w:eastAsia="zh-CN"/>
            </w:rPr>
            <w:fldChar w:fldCharType="separate"/>
          </w:r>
          <w:r>
            <w:rPr>
              <w:color w:val="auto"/>
              <w:sz w:val="24"/>
              <w:szCs w:val="24"/>
              <w:lang w:eastAsia="zh-CN"/>
            </w:rPr>
            <w:t>第二章</w:t>
          </w:r>
          <w:r>
            <w:rPr>
              <w:rFonts w:hint="eastAsia"/>
              <w:color w:val="auto"/>
              <w:sz w:val="24"/>
              <w:szCs w:val="24"/>
              <w:lang w:val="en-US" w:eastAsia="zh-CN"/>
            </w:rPr>
            <w:t xml:space="preserve"> </w:t>
          </w:r>
          <w:r>
            <w:rPr>
              <w:color w:val="auto"/>
              <w:sz w:val="24"/>
              <w:szCs w:val="24"/>
              <w:lang w:eastAsia="zh-CN"/>
            </w:rPr>
            <w:t>供应商须知</w:t>
          </w:r>
          <w:r>
            <w:rPr>
              <w:color w:val="auto"/>
              <w:sz w:val="24"/>
              <w:szCs w:val="24"/>
            </w:rPr>
            <w:tab/>
          </w:r>
          <w:r>
            <w:rPr>
              <w:color w:val="auto"/>
              <w:sz w:val="24"/>
              <w:szCs w:val="24"/>
            </w:rPr>
            <w:fldChar w:fldCharType="begin"/>
          </w:r>
          <w:r>
            <w:rPr>
              <w:color w:val="auto"/>
              <w:sz w:val="24"/>
              <w:szCs w:val="24"/>
            </w:rPr>
            <w:instrText xml:space="preserve"> PAGEREF _Toc2363 \h </w:instrText>
          </w:r>
          <w:r>
            <w:rPr>
              <w:color w:val="auto"/>
              <w:sz w:val="24"/>
              <w:szCs w:val="24"/>
            </w:rPr>
            <w:fldChar w:fldCharType="separate"/>
          </w:r>
          <w:r>
            <w:rPr>
              <w:color w:val="auto"/>
              <w:sz w:val="24"/>
              <w:szCs w:val="24"/>
            </w:rPr>
            <w:t>6</w:t>
          </w:r>
          <w:r>
            <w:rPr>
              <w:color w:val="auto"/>
              <w:sz w:val="24"/>
              <w:szCs w:val="24"/>
            </w:rPr>
            <w:fldChar w:fldCharType="end"/>
          </w:r>
          <w:r>
            <w:rPr>
              <w:rFonts w:ascii="宋体" w:hAnsi="宋体" w:eastAsia="宋体"/>
              <w:color w:val="auto"/>
              <w:sz w:val="24"/>
              <w:szCs w:val="24"/>
              <w:lang w:eastAsia="zh-CN"/>
            </w:rPr>
            <w:fldChar w:fldCharType="end"/>
          </w:r>
        </w:p>
        <w:p w14:paraId="3939BEE2">
          <w:pPr>
            <w:pStyle w:val="16"/>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color w:val="auto"/>
              <w:sz w:val="24"/>
              <w:szCs w:val="24"/>
            </w:rPr>
          </w:pPr>
          <w:r>
            <w:rPr>
              <w:rFonts w:ascii="宋体" w:hAnsi="宋体" w:eastAsia="宋体"/>
              <w:color w:val="auto"/>
              <w:sz w:val="24"/>
              <w:szCs w:val="24"/>
              <w:lang w:eastAsia="zh-CN"/>
            </w:rPr>
            <w:fldChar w:fldCharType="begin"/>
          </w:r>
          <w:r>
            <w:rPr>
              <w:rFonts w:ascii="宋体" w:hAnsi="宋体" w:eastAsia="宋体"/>
              <w:color w:val="auto"/>
              <w:sz w:val="24"/>
              <w:szCs w:val="24"/>
              <w:lang w:eastAsia="zh-CN"/>
            </w:rPr>
            <w:instrText xml:space="preserve"> HYPERLINK \l _Toc30378 </w:instrText>
          </w:r>
          <w:r>
            <w:rPr>
              <w:rFonts w:ascii="宋体" w:hAnsi="宋体" w:eastAsia="宋体"/>
              <w:color w:val="auto"/>
              <w:sz w:val="24"/>
              <w:szCs w:val="24"/>
              <w:lang w:eastAsia="zh-CN"/>
            </w:rPr>
            <w:fldChar w:fldCharType="separate"/>
          </w:r>
          <w:r>
            <w:rPr>
              <w:color w:val="auto"/>
              <w:sz w:val="24"/>
              <w:szCs w:val="24"/>
              <w:lang w:eastAsia="zh-CN"/>
            </w:rPr>
            <w:t>第三章</w:t>
          </w:r>
          <w:r>
            <w:rPr>
              <w:rFonts w:hint="eastAsia"/>
              <w:color w:val="auto"/>
              <w:sz w:val="24"/>
              <w:szCs w:val="24"/>
              <w:lang w:eastAsia="zh-CN"/>
            </w:rPr>
            <w:t xml:space="preserve"> </w:t>
          </w:r>
          <w:r>
            <w:rPr>
              <w:color w:val="auto"/>
              <w:sz w:val="24"/>
              <w:szCs w:val="24"/>
              <w:lang w:eastAsia="zh-CN"/>
            </w:rPr>
            <w:t>评审办法</w:t>
          </w:r>
          <w:r>
            <w:rPr>
              <w:color w:val="auto"/>
              <w:sz w:val="24"/>
              <w:szCs w:val="24"/>
            </w:rPr>
            <w:tab/>
          </w:r>
          <w:r>
            <w:rPr>
              <w:color w:val="auto"/>
              <w:sz w:val="24"/>
              <w:szCs w:val="24"/>
            </w:rPr>
            <w:fldChar w:fldCharType="begin"/>
          </w:r>
          <w:r>
            <w:rPr>
              <w:color w:val="auto"/>
              <w:sz w:val="24"/>
              <w:szCs w:val="24"/>
            </w:rPr>
            <w:instrText xml:space="preserve"> PAGEREF _Toc30378 \h </w:instrText>
          </w:r>
          <w:r>
            <w:rPr>
              <w:color w:val="auto"/>
              <w:sz w:val="24"/>
              <w:szCs w:val="24"/>
            </w:rPr>
            <w:fldChar w:fldCharType="separate"/>
          </w:r>
          <w:r>
            <w:rPr>
              <w:color w:val="auto"/>
              <w:sz w:val="24"/>
              <w:szCs w:val="24"/>
            </w:rPr>
            <w:t>31</w:t>
          </w:r>
          <w:r>
            <w:rPr>
              <w:color w:val="auto"/>
              <w:sz w:val="24"/>
              <w:szCs w:val="24"/>
            </w:rPr>
            <w:fldChar w:fldCharType="end"/>
          </w:r>
          <w:r>
            <w:rPr>
              <w:rFonts w:ascii="宋体" w:hAnsi="宋体" w:eastAsia="宋体"/>
              <w:color w:val="auto"/>
              <w:sz w:val="24"/>
              <w:szCs w:val="24"/>
              <w:lang w:eastAsia="zh-CN"/>
            </w:rPr>
            <w:fldChar w:fldCharType="end"/>
          </w:r>
        </w:p>
        <w:p w14:paraId="3A351CBC">
          <w:pPr>
            <w:pStyle w:val="16"/>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color w:val="auto"/>
              <w:sz w:val="24"/>
              <w:szCs w:val="24"/>
            </w:rPr>
          </w:pPr>
          <w:r>
            <w:rPr>
              <w:rFonts w:ascii="宋体" w:hAnsi="宋体" w:eastAsia="宋体"/>
              <w:color w:val="auto"/>
              <w:sz w:val="24"/>
              <w:szCs w:val="24"/>
              <w:lang w:eastAsia="zh-CN"/>
            </w:rPr>
            <w:fldChar w:fldCharType="begin"/>
          </w:r>
          <w:r>
            <w:rPr>
              <w:rFonts w:ascii="宋体" w:hAnsi="宋体" w:eastAsia="宋体"/>
              <w:color w:val="auto"/>
              <w:sz w:val="24"/>
              <w:szCs w:val="24"/>
              <w:lang w:eastAsia="zh-CN"/>
            </w:rPr>
            <w:instrText xml:space="preserve"> HYPERLINK \l _Toc2167 </w:instrText>
          </w:r>
          <w:r>
            <w:rPr>
              <w:rFonts w:ascii="宋体" w:hAnsi="宋体" w:eastAsia="宋体"/>
              <w:color w:val="auto"/>
              <w:sz w:val="24"/>
              <w:szCs w:val="24"/>
              <w:lang w:eastAsia="zh-CN"/>
            </w:rPr>
            <w:fldChar w:fldCharType="separate"/>
          </w:r>
          <w:r>
            <w:rPr>
              <w:rFonts w:hint="eastAsia"/>
              <w:color w:val="auto"/>
              <w:sz w:val="24"/>
              <w:szCs w:val="24"/>
              <w:lang w:eastAsia="zh-CN"/>
            </w:rPr>
            <w:t xml:space="preserve">第四章 </w:t>
          </w:r>
          <w:r>
            <w:rPr>
              <w:color w:val="auto"/>
              <w:sz w:val="24"/>
              <w:szCs w:val="24"/>
              <w:lang w:eastAsia="zh-CN"/>
            </w:rPr>
            <w:t>合同</w:t>
          </w:r>
          <w:r>
            <w:rPr>
              <w:rFonts w:hint="eastAsia"/>
              <w:color w:val="auto"/>
              <w:sz w:val="24"/>
              <w:szCs w:val="24"/>
              <w:lang w:eastAsia="zh-CN"/>
            </w:rPr>
            <w:t>条款及格式</w:t>
          </w:r>
          <w:r>
            <w:rPr>
              <w:color w:val="auto"/>
              <w:sz w:val="24"/>
              <w:szCs w:val="24"/>
            </w:rPr>
            <w:tab/>
          </w:r>
          <w:r>
            <w:rPr>
              <w:color w:val="auto"/>
              <w:sz w:val="24"/>
              <w:szCs w:val="24"/>
            </w:rPr>
            <w:fldChar w:fldCharType="begin"/>
          </w:r>
          <w:r>
            <w:rPr>
              <w:color w:val="auto"/>
              <w:sz w:val="24"/>
              <w:szCs w:val="24"/>
            </w:rPr>
            <w:instrText xml:space="preserve"> PAGEREF _Toc2167 \h </w:instrText>
          </w:r>
          <w:r>
            <w:rPr>
              <w:color w:val="auto"/>
              <w:sz w:val="24"/>
              <w:szCs w:val="24"/>
            </w:rPr>
            <w:fldChar w:fldCharType="separate"/>
          </w:r>
          <w:r>
            <w:rPr>
              <w:color w:val="auto"/>
              <w:sz w:val="24"/>
              <w:szCs w:val="24"/>
            </w:rPr>
            <w:t>42</w:t>
          </w:r>
          <w:r>
            <w:rPr>
              <w:color w:val="auto"/>
              <w:sz w:val="24"/>
              <w:szCs w:val="24"/>
            </w:rPr>
            <w:fldChar w:fldCharType="end"/>
          </w:r>
          <w:r>
            <w:rPr>
              <w:rFonts w:ascii="宋体" w:hAnsi="宋体" w:eastAsia="宋体"/>
              <w:color w:val="auto"/>
              <w:sz w:val="24"/>
              <w:szCs w:val="24"/>
              <w:lang w:eastAsia="zh-CN"/>
            </w:rPr>
            <w:fldChar w:fldCharType="end"/>
          </w:r>
        </w:p>
        <w:p w14:paraId="0AD37F3E">
          <w:pPr>
            <w:pStyle w:val="16"/>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color w:val="auto"/>
              <w:sz w:val="24"/>
              <w:szCs w:val="24"/>
            </w:rPr>
          </w:pPr>
          <w:r>
            <w:rPr>
              <w:rFonts w:ascii="宋体" w:hAnsi="宋体" w:eastAsia="宋体"/>
              <w:color w:val="auto"/>
              <w:sz w:val="24"/>
              <w:szCs w:val="24"/>
              <w:lang w:eastAsia="zh-CN"/>
            </w:rPr>
            <w:fldChar w:fldCharType="begin"/>
          </w:r>
          <w:r>
            <w:rPr>
              <w:rFonts w:ascii="宋体" w:hAnsi="宋体" w:eastAsia="宋体"/>
              <w:color w:val="auto"/>
              <w:sz w:val="24"/>
              <w:szCs w:val="24"/>
              <w:lang w:eastAsia="zh-CN"/>
            </w:rPr>
            <w:instrText xml:space="preserve"> HYPERLINK \l _Toc14646 </w:instrText>
          </w:r>
          <w:r>
            <w:rPr>
              <w:rFonts w:ascii="宋体" w:hAnsi="宋体" w:eastAsia="宋体"/>
              <w:color w:val="auto"/>
              <w:sz w:val="24"/>
              <w:szCs w:val="24"/>
              <w:lang w:eastAsia="zh-CN"/>
            </w:rPr>
            <w:fldChar w:fldCharType="separate"/>
          </w:r>
          <w:r>
            <w:rPr>
              <w:rFonts w:hint="eastAsia"/>
              <w:color w:val="auto"/>
              <w:sz w:val="24"/>
              <w:szCs w:val="24"/>
              <w:lang w:eastAsia="zh-CN"/>
            </w:rPr>
            <w:t>第五章 项目技术标准及要求</w:t>
          </w:r>
          <w:r>
            <w:rPr>
              <w:color w:val="auto"/>
              <w:sz w:val="24"/>
              <w:szCs w:val="24"/>
            </w:rPr>
            <w:tab/>
          </w:r>
          <w:r>
            <w:rPr>
              <w:color w:val="auto"/>
              <w:sz w:val="24"/>
              <w:szCs w:val="24"/>
            </w:rPr>
            <w:fldChar w:fldCharType="begin"/>
          </w:r>
          <w:r>
            <w:rPr>
              <w:color w:val="auto"/>
              <w:sz w:val="24"/>
              <w:szCs w:val="24"/>
            </w:rPr>
            <w:instrText xml:space="preserve"> PAGEREF _Toc14646 \h </w:instrText>
          </w:r>
          <w:r>
            <w:rPr>
              <w:color w:val="auto"/>
              <w:sz w:val="24"/>
              <w:szCs w:val="24"/>
            </w:rPr>
            <w:fldChar w:fldCharType="separate"/>
          </w:r>
          <w:r>
            <w:rPr>
              <w:color w:val="auto"/>
              <w:sz w:val="24"/>
              <w:szCs w:val="24"/>
            </w:rPr>
            <w:t>63</w:t>
          </w:r>
          <w:r>
            <w:rPr>
              <w:color w:val="auto"/>
              <w:sz w:val="24"/>
              <w:szCs w:val="24"/>
            </w:rPr>
            <w:fldChar w:fldCharType="end"/>
          </w:r>
          <w:r>
            <w:rPr>
              <w:rFonts w:ascii="宋体" w:hAnsi="宋体" w:eastAsia="宋体"/>
              <w:color w:val="auto"/>
              <w:sz w:val="24"/>
              <w:szCs w:val="24"/>
              <w:lang w:eastAsia="zh-CN"/>
            </w:rPr>
            <w:fldChar w:fldCharType="end"/>
          </w:r>
        </w:p>
        <w:p w14:paraId="699D8FA3">
          <w:pPr>
            <w:pStyle w:val="16"/>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color w:val="auto"/>
              <w:sz w:val="24"/>
              <w:szCs w:val="24"/>
            </w:rPr>
          </w:pPr>
          <w:r>
            <w:rPr>
              <w:rFonts w:ascii="宋体" w:hAnsi="宋体" w:eastAsia="宋体"/>
              <w:color w:val="auto"/>
              <w:sz w:val="24"/>
              <w:szCs w:val="24"/>
              <w:lang w:eastAsia="zh-CN"/>
            </w:rPr>
            <w:fldChar w:fldCharType="begin"/>
          </w:r>
          <w:r>
            <w:rPr>
              <w:rFonts w:ascii="宋体" w:hAnsi="宋体" w:eastAsia="宋体"/>
              <w:color w:val="auto"/>
              <w:sz w:val="24"/>
              <w:szCs w:val="24"/>
              <w:lang w:eastAsia="zh-CN"/>
            </w:rPr>
            <w:instrText xml:space="preserve"> HYPERLINK \l _Toc28916 </w:instrText>
          </w:r>
          <w:r>
            <w:rPr>
              <w:rFonts w:ascii="宋体" w:hAnsi="宋体" w:eastAsia="宋体"/>
              <w:color w:val="auto"/>
              <w:sz w:val="24"/>
              <w:szCs w:val="24"/>
              <w:lang w:eastAsia="zh-CN"/>
            </w:rPr>
            <w:fldChar w:fldCharType="separate"/>
          </w:r>
          <w:r>
            <w:rPr>
              <w:color w:val="auto"/>
              <w:sz w:val="24"/>
              <w:szCs w:val="24"/>
              <w:lang w:eastAsia="zh-CN"/>
            </w:rPr>
            <w:t>第</w:t>
          </w:r>
          <w:r>
            <w:rPr>
              <w:rFonts w:hint="eastAsia"/>
              <w:color w:val="auto"/>
              <w:sz w:val="24"/>
              <w:szCs w:val="24"/>
              <w:lang w:eastAsia="zh-CN"/>
            </w:rPr>
            <w:t>六</w:t>
          </w:r>
          <w:r>
            <w:rPr>
              <w:color w:val="auto"/>
              <w:sz w:val="24"/>
              <w:szCs w:val="24"/>
              <w:lang w:eastAsia="zh-CN"/>
            </w:rPr>
            <w:t>章</w:t>
          </w:r>
          <w:r>
            <w:rPr>
              <w:rFonts w:hint="eastAsia"/>
              <w:color w:val="auto"/>
              <w:sz w:val="24"/>
              <w:szCs w:val="24"/>
              <w:lang w:eastAsia="zh-CN"/>
            </w:rPr>
            <w:t xml:space="preserve"> </w:t>
          </w:r>
          <w:r>
            <w:rPr>
              <w:color w:val="auto"/>
              <w:sz w:val="24"/>
              <w:szCs w:val="24"/>
              <w:lang w:eastAsia="zh-CN"/>
            </w:rPr>
            <w:t>磋商响应文件格式</w:t>
          </w:r>
          <w:r>
            <w:rPr>
              <w:color w:val="auto"/>
              <w:sz w:val="24"/>
              <w:szCs w:val="24"/>
            </w:rPr>
            <w:tab/>
          </w:r>
          <w:r>
            <w:rPr>
              <w:color w:val="auto"/>
              <w:sz w:val="24"/>
              <w:szCs w:val="24"/>
            </w:rPr>
            <w:fldChar w:fldCharType="begin"/>
          </w:r>
          <w:r>
            <w:rPr>
              <w:color w:val="auto"/>
              <w:sz w:val="24"/>
              <w:szCs w:val="24"/>
            </w:rPr>
            <w:instrText xml:space="preserve"> PAGEREF _Toc28916 \h </w:instrText>
          </w:r>
          <w:r>
            <w:rPr>
              <w:color w:val="auto"/>
              <w:sz w:val="24"/>
              <w:szCs w:val="24"/>
            </w:rPr>
            <w:fldChar w:fldCharType="separate"/>
          </w:r>
          <w:r>
            <w:rPr>
              <w:color w:val="auto"/>
              <w:sz w:val="24"/>
              <w:szCs w:val="24"/>
            </w:rPr>
            <w:t>66</w:t>
          </w:r>
          <w:r>
            <w:rPr>
              <w:color w:val="auto"/>
              <w:sz w:val="24"/>
              <w:szCs w:val="24"/>
            </w:rPr>
            <w:fldChar w:fldCharType="end"/>
          </w:r>
          <w:r>
            <w:rPr>
              <w:rFonts w:ascii="宋体" w:hAnsi="宋体" w:eastAsia="宋体"/>
              <w:color w:val="auto"/>
              <w:sz w:val="24"/>
              <w:szCs w:val="24"/>
              <w:lang w:eastAsia="zh-CN"/>
            </w:rPr>
            <w:fldChar w:fldCharType="end"/>
          </w:r>
        </w:p>
        <w:p w14:paraId="4D2C1B71">
          <w:pPr>
            <w:pStyle w:val="16"/>
            <w:tabs>
              <w:tab w:val="right" w:leader="dot" w:pos="8396"/>
            </w:tabs>
            <w:spacing w:line="480" w:lineRule="auto"/>
            <w:rPr>
              <w:rFonts w:ascii="宋体" w:hAnsi="宋体" w:eastAsia="宋体"/>
              <w:color w:val="auto"/>
              <w:sz w:val="24"/>
              <w:szCs w:val="24"/>
              <w:lang w:eastAsia="zh-CN"/>
            </w:rPr>
          </w:pPr>
          <w:r>
            <w:rPr>
              <w:rFonts w:ascii="宋体" w:hAnsi="宋体" w:eastAsia="宋体"/>
              <w:color w:val="auto"/>
              <w:sz w:val="24"/>
              <w:szCs w:val="24"/>
              <w:lang w:eastAsia="zh-CN"/>
            </w:rPr>
            <w:fldChar w:fldCharType="end"/>
          </w:r>
        </w:p>
      </w:sdtContent>
    </w:sdt>
    <w:p w14:paraId="04F05A48">
      <w:pPr>
        <w:spacing w:line="360" w:lineRule="auto"/>
        <w:jc w:val="center"/>
        <w:rPr>
          <w:rFonts w:ascii="宋体" w:hAnsi="宋体" w:eastAsia="宋体"/>
          <w:b/>
          <w:color w:val="auto"/>
          <w:sz w:val="24"/>
          <w:szCs w:val="24"/>
          <w:lang w:eastAsia="zh-CN"/>
        </w:rPr>
      </w:pPr>
    </w:p>
    <w:p w14:paraId="4CCC6998">
      <w:pPr>
        <w:kinsoku/>
        <w:autoSpaceDE/>
        <w:autoSpaceDN/>
        <w:adjustRightInd/>
        <w:snapToGrid/>
        <w:textAlignment w:val="auto"/>
        <w:rPr>
          <w:rFonts w:ascii="宋体" w:hAnsi="宋体" w:eastAsia="宋体"/>
          <w:b/>
          <w:color w:val="auto"/>
          <w:sz w:val="24"/>
          <w:szCs w:val="24"/>
          <w:lang w:eastAsia="zh-CN"/>
        </w:rPr>
      </w:pPr>
      <w:r>
        <w:rPr>
          <w:rFonts w:ascii="宋体" w:hAnsi="宋体" w:eastAsia="宋体"/>
          <w:b/>
          <w:color w:val="auto"/>
          <w:sz w:val="24"/>
          <w:szCs w:val="24"/>
          <w:lang w:eastAsia="zh-CN"/>
        </w:rPr>
        <w:br w:type="page"/>
      </w:r>
    </w:p>
    <w:p w14:paraId="33D3A7C4">
      <w:pPr>
        <w:pStyle w:val="5"/>
        <w:spacing w:line="360" w:lineRule="auto"/>
        <w:jc w:val="center"/>
        <w:rPr>
          <w:color w:val="auto"/>
          <w:kern w:val="2"/>
          <w:sz w:val="28"/>
          <w:szCs w:val="28"/>
          <w:lang w:eastAsia="zh-CN"/>
        </w:rPr>
      </w:pPr>
      <w:bookmarkStart w:id="0" w:name="_Toc463852807"/>
      <w:bookmarkStart w:id="1" w:name="_Toc22310492"/>
      <w:bookmarkStart w:id="2" w:name="_Toc7212"/>
      <w:r>
        <w:rPr>
          <w:rFonts w:hint="eastAsia"/>
          <w:color w:val="auto"/>
          <w:kern w:val="2"/>
          <w:sz w:val="28"/>
          <w:szCs w:val="28"/>
          <w:lang w:eastAsia="zh-CN"/>
        </w:rPr>
        <w:t xml:space="preserve">第一章 </w:t>
      </w:r>
      <w:bookmarkEnd w:id="0"/>
      <w:r>
        <w:rPr>
          <w:rFonts w:hint="eastAsia"/>
          <w:color w:val="auto"/>
          <w:kern w:val="2"/>
          <w:sz w:val="28"/>
          <w:szCs w:val="28"/>
          <w:lang w:eastAsia="zh-CN"/>
        </w:rPr>
        <w:t>自主磋商公告</w:t>
      </w:r>
      <w:bookmarkEnd w:id="1"/>
      <w:bookmarkEnd w:id="2"/>
    </w:p>
    <w:p w14:paraId="0461FA92">
      <w:pPr>
        <w:snapToGrid w:val="0"/>
        <w:spacing w:line="360" w:lineRule="auto"/>
        <w:jc w:val="center"/>
        <w:rPr>
          <w:rFonts w:hint="eastAsia" w:ascii="宋体" w:hAnsi="宋体" w:cs="宋体"/>
          <w:b/>
          <w:color w:val="auto"/>
          <w:spacing w:val="-8"/>
          <w:sz w:val="28"/>
          <w:szCs w:val="28"/>
          <w:lang w:val="en-US" w:eastAsia="zh-CN"/>
        </w:rPr>
      </w:pPr>
      <w:r>
        <w:rPr>
          <w:rFonts w:hint="eastAsia" w:ascii="宋体" w:hAnsi="宋体" w:cs="宋体"/>
          <w:b/>
          <w:color w:val="auto"/>
          <w:spacing w:val="-8"/>
          <w:sz w:val="28"/>
          <w:szCs w:val="28"/>
          <w:lang w:val="en-US" w:eastAsia="zh-CN"/>
        </w:rPr>
        <w:t>河南省体育彩票管理中心信阳分中心专营实体店店招改造项目</w:t>
      </w:r>
    </w:p>
    <w:p w14:paraId="57379AFF">
      <w:pPr>
        <w:snapToGrid w:val="0"/>
        <w:spacing w:line="360" w:lineRule="auto"/>
        <w:jc w:val="center"/>
        <w:rPr>
          <w:rFonts w:hint="eastAsia" w:ascii="宋体" w:hAnsi="宋体" w:cs="宋体"/>
          <w:b/>
          <w:color w:val="auto"/>
          <w:spacing w:val="-8"/>
          <w:sz w:val="28"/>
          <w:szCs w:val="28"/>
        </w:rPr>
      </w:pPr>
      <w:r>
        <w:rPr>
          <w:rFonts w:hint="eastAsia" w:ascii="宋体" w:hAnsi="宋体" w:cs="宋体"/>
          <w:b/>
          <w:color w:val="auto"/>
          <w:spacing w:val="-8"/>
          <w:sz w:val="28"/>
          <w:szCs w:val="28"/>
          <w:lang w:eastAsia="zh-CN"/>
        </w:rPr>
        <w:t>自主磋商</w:t>
      </w:r>
      <w:r>
        <w:rPr>
          <w:rFonts w:hint="eastAsia" w:ascii="宋体" w:hAnsi="宋体" w:cs="宋体"/>
          <w:b/>
          <w:color w:val="auto"/>
          <w:spacing w:val="-8"/>
          <w:sz w:val="28"/>
          <w:szCs w:val="28"/>
        </w:rPr>
        <w:t>公告</w:t>
      </w:r>
    </w:p>
    <w:p w14:paraId="528D45C2">
      <w:pPr>
        <w:spacing w:line="360" w:lineRule="auto"/>
        <w:ind w:firstLine="480" w:firstLineChars="200"/>
        <w:rPr>
          <w:rFonts w:hint="eastAsia" w:asciiTheme="minorEastAsia" w:hAnsiTheme="minorEastAsia"/>
          <w:b/>
          <w:color w:val="auto"/>
          <w:kern w:val="2"/>
          <w:sz w:val="24"/>
          <w:szCs w:val="24"/>
          <w:highlight w:val="none"/>
          <w:lang w:eastAsia="zh-CN"/>
        </w:rPr>
      </w:pPr>
      <w:r>
        <w:rPr>
          <w:rFonts w:hint="eastAsia" w:ascii="宋体" w:hAnsi="宋体" w:eastAsia="宋体" w:cs="宋体"/>
          <w:color w:val="auto"/>
          <w:kern w:val="0"/>
          <w:sz w:val="24"/>
          <w:szCs w:val="24"/>
          <w:highlight w:val="none"/>
        </w:rPr>
        <w:t>河南省体育彩票管理中心</w:t>
      </w:r>
      <w:r>
        <w:rPr>
          <w:rFonts w:hint="eastAsia" w:ascii="宋体" w:hAnsi="宋体" w:eastAsia="宋体" w:cs="宋体"/>
          <w:color w:val="auto"/>
          <w:kern w:val="0"/>
          <w:sz w:val="24"/>
          <w:szCs w:val="24"/>
          <w:highlight w:val="none"/>
          <w:lang w:val="en-US" w:eastAsia="zh-CN"/>
        </w:rPr>
        <w:t>信阳</w:t>
      </w:r>
      <w:r>
        <w:rPr>
          <w:rFonts w:hint="eastAsia" w:ascii="宋体" w:hAnsi="宋体" w:eastAsia="宋体" w:cs="宋体"/>
          <w:color w:val="auto"/>
          <w:kern w:val="0"/>
          <w:sz w:val="24"/>
          <w:szCs w:val="24"/>
          <w:highlight w:val="none"/>
          <w:u w:val="none"/>
          <w:lang w:val="en-US" w:eastAsia="zh-CN"/>
        </w:rPr>
        <w:t>分中心</w:t>
      </w:r>
      <w:r>
        <w:rPr>
          <w:rFonts w:hint="eastAsia" w:ascii="宋体" w:hAnsi="宋体" w:eastAsia="宋体" w:cs="宋体"/>
          <w:color w:val="auto"/>
          <w:kern w:val="0"/>
          <w:sz w:val="24"/>
          <w:szCs w:val="24"/>
          <w:highlight w:val="none"/>
        </w:rPr>
        <w:t>根据工作需要，拟对</w:t>
      </w:r>
      <w:r>
        <w:rPr>
          <w:rFonts w:hint="eastAsia" w:ascii="宋体" w:hAnsi="宋体" w:eastAsia="宋体" w:cs="宋体"/>
          <w:color w:val="auto"/>
          <w:kern w:val="0"/>
          <w:sz w:val="24"/>
          <w:szCs w:val="24"/>
          <w:highlight w:val="none"/>
          <w:lang w:val="en-US" w:eastAsia="zh-CN"/>
        </w:rPr>
        <w:t>专营实体店店招改造项目</w:t>
      </w:r>
      <w:r>
        <w:rPr>
          <w:rFonts w:hint="eastAsia" w:ascii="宋体" w:hAnsi="宋体" w:eastAsia="宋体" w:cs="宋体"/>
          <w:color w:val="auto"/>
          <w:kern w:val="0"/>
          <w:sz w:val="24"/>
          <w:szCs w:val="24"/>
          <w:highlight w:val="none"/>
        </w:rPr>
        <w:t>进行自主磋商采购，</w:t>
      </w:r>
      <w:r>
        <w:rPr>
          <w:rFonts w:hint="eastAsia" w:ascii="宋体" w:hAnsi="宋体" w:cs="宋体"/>
          <w:color w:val="auto"/>
          <w:sz w:val="24"/>
          <w:highlight w:val="none"/>
        </w:rPr>
        <w:t>现欢迎符合相关条件的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参加投标。</w:t>
      </w:r>
    </w:p>
    <w:p w14:paraId="03620302">
      <w:pPr>
        <w:spacing w:line="360" w:lineRule="auto"/>
        <w:rPr>
          <w:rFonts w:asciiTheme="minorEastAsia" w:hAnsiTheme="minorEastAsia"/>
          <w:b/>
          <w:color w:val="auto"/>
          <w:kern w:val="2"/>
          <w:sz w:val="24"/>
          <w:szCs w:val="24"/>
          <w:highlight w:val="none"/>
          <w:lang w:eastAsia="zh-CN"/>
        </w:rPr>
      </w:pPr>
      <w:r>
        <w:rPr>
          <w:rFonts w:hint="eastAsia" w:asciiTheme="minorEastAsia" w:hAnsiTheme="minorEastAsia"/>
          <w:b/>
          <w:color w:val="auto"/>
          <w:kern w:val="2"/>
          <w:sz w:val="24"/>
          <w:szCs w:val="24"/>
          <w:highlight w:val="none"/>
          <w:lang w:eastAsia="zh-CN"/>
        </w:rPr>
        <w:t>一、项目基本情况</w:t>
      </w:r>
    </w:p>
    <w:p w14:paraId="26824BCD">
      <w:pPr>
        <w:spacing w:line="360" w:lineRule="auto"/>
        <w:ind w:firstLine="480" w:firstLineChars="200"/>
        <w:rPr>
          <w:rFonts w:hint="eastAsia"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1、项目编号：</w:t>
      </w:r>
      <w:r>
        <w:rPr>
          <w:rFonts w:hint="eastAsia" w:asciiTheme="minorEastAsia" w:hAnsiTheme="minorEastAsia"/>
          <w:color w:val="auto"/>
          <w:kern w:val="2"/>
          <w:sz w:val="24"/>
          <w:szCs w:val="24"/>
          <w:highlight w:val="none"/>
          <w:lang w:val="en-US" w:eastAsia="zh-CN"/>
        </w:rPr>
        <w:t xml:space="preserve"> XYTCCS-2024-05</w:t>
      </w:r>
    </w:p>
    <w:p w14:paraId="572DA96A">
      <w:pPr>
        <w:spacing w:line="360" w:lineRule="auto"/>
        <w:ind w:firstLine="480" w:firstLineChars="200"/>
        <w:rPr>
          <w:rFonts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2、项目名称：</w:t>
      </w:r>
      <w:r>
        <w:rPr>
          <w:rFonts w:hint="eastAsia" w:ascii="宋体" w:hAnsi="宋体" w:eastAsia="宋体" w:cs="宋体"/>
          <w:color w:val="auto"/>
          <w:kern w:val="0"/>
          <w:sz w:val="24"/>
          <w:szCs w:val="24"/>
          <w:highlight w:val="none"/>
          <w:lang w:val="en-US" w:eastAsia="zh-CN"/>
        </w:rPr>
        <w:t>专营实体店店招改造项目</w:t>
      </w:r>
    </w:p>
    <w:p w14:paraId="2276B96A">
      <w:pPr>
        <w:spacing w:line="360" w:lineRule="auto"/>
        <w:ind w:firstLine="480" w:firstLineChars="200"/>
        <w:rPr>
          <w:rFonts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3、采购方式：自主磋商</w:t>
      </w:r>
    </w:p>
    <w:p w14:paraId="02AC16FB">
      <w:pPr>
        <w:spacing w:line="360" w:lineRule="auto"/>
        <w:ind w:firstLine="480" w:firstLineChars="200"/>
        <w:rPr>
          <w:rFonts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4、预算金额：</w:t>
      </w:r>
      <w:r>
        <w:rPr>
          <w:rFonts w:hint="eastAsia" w:asciiTheme="minorEastAsia" w:hAnsiTheme="minorEastAsia"/>
          <w:color w:val="auto"/>
          <w:kern w:val="2"/>
          <w:sz w:val="24"/>
          <w:szCs w:val="24"/>
          <w:highlight w:val="none"/>
          <w:lang w:val="en-US" w:eastAsia="zh-CN"/>
        </w:rPr>
        <w:t xml:space="preserve"> 122086.44</w:t>
      </w:r>
      <w:r>
        <w:rPr>
          <w:rFonts w:hint="eastAsia" w:asciiTheme="minorEastAsia" w:hAnsiTheme="minorEastAsia"/>
          <w:color w:val="auto"/>
          <w:kern w:val="2"/>
          <w:sz w:val="24"/>
          <w:szCs w:val="24"/>
          <w:highlight w:val="none"/>
          <w:lang w:eastAsia="zh-CN"/>
        </w:rPr>
        <w:t>元</w:t>
      </w:r>
    </w:p>
    <w:p w14:paraId="79C8A2EC">
      <w:pPr>
        <w:spacing w:line="360" w:lineRule="auto"/>
        <w:ind w:firstLine="840" w:firstLineChars="350"/>
        <w:rPr>
          <w:rFonts w:hint="eastAsia"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最高限价：</w:t>
      </w:r>
      <w:r>
        <w:rPr>
          <w:rFonts w:hint="eastAsia" w:asciiTheme="minorEastAsia" w:hAnsiTheme="minorEastAsia"/>
          <w:color w:val="auto"/>
          <w:kern w:val="2"/>
          <w:sz w:val="24"/>
          <w:szCs w:val="24"/>
          <w:highlight w:val="none"/>
          <w:lang w:val="en-US" w:eastAsia="zh-CN"/>
        </w:rPr>
        <w:t xml:space="preserve">122086.44 </w:t>
      </w:r>
      <w:r>
        <w:rPr>
          <w:rFonts w:hint="eastAsia" w:asciiTheme="minorEastAsia" w:hAnsiTheme="minorEastAsia"/>
          <w:color w:val="auto"/>
          <w:kern w:val="2"/>
          <w:sz w:val="24"/>
          <w:szCs w:val="24"/>
          <w:highlight w:val="none"/>
          <w:lang w:eastAsia="zh-CN"/>
        </w:rPr>
        <w:t>元</w:t>
      </w:r>
    </w:p>
    <w:p w14:paraId="78DD8B1D">
      <w:pPr>
        <w:pStyle w:val="2"/>
        <w:rPr>
          <w:rFonts w:hint="default"/>
          <w:color w:val="auto"/>
          <w:highlight w:val="none"/>
          <w:lang w:val="en-US" w:eastAsia="zh-CN"/>
        </w:rPr>
      </w:pPr>
      <w:r>
        <w:rPr>
          <w:rFonts w:hint="eastAsia" w:asciiTheme="minorEastAsia" w:hAnsiTheme="minorEastAsia"/>
          <w:color w:val="auto"/>
          <w:kern w:val="2"/>
          <w:sz w:val="24"/>
          <w:szCs w:val="24"/>
          <w:highlight w:val="none"/>
          <w:lang w:val="en-US" w:eastAsia="zh-CN"/>
        </w:rPr>
        <w:t xml:space="preserve">       平方单价限价： 753.62  元</w:t>
      </w:r>
    </w:p>
    <w:p w14:paraId="4BB78B9A">
      <w:pPr>
        <w:spacing w:line="360" w:lineRule="auto"/>
        <w:ind w:firstLine="424" w:firstLineChars="177"/>
        <w:rPr>
          <w:rFonts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5、采购需求：（包括但不限于标的的名称、数量、简要技术需求或服务要求等）</w:t>
      </w:r>
    </w:p>
    <w:p w14:paraId="6A53C0A8">
      <w:pPr>
        <w:spacing w:line="360" w:lineRule="auto"/>
        <w:ind w:firstLine="662" w:firstLineChars="276"/>
        <w:rPr>
          <w:rFonts w:hint="eastAsia" w:asciiTheme="minorEastAsia" w:hAnsiTheme="minorEastAsia"/>
          <w:color w:val="auto"/>
          <w:kern w:val="2"/>
          <w:sz w:val="24"/>
          <w:szCs w:val="24"/>
          <w:highlight w:val="none"/>
          <w:lang w:val="en-US" w:eastAsia="zh-CN"/>
        </w:rPr>
      </w:pPr>
      <w:r>
        <w:rPr>
          <w:rFonts w:hint="eastAsia" w:asciiTheme="minorEastAsia" w:hAnsiTheme="minorEastAsia"/>
          <w:color w:val="auto"/>
          <w:kern w:val="2"/>
          <w:sz w:val="24"/>
          <w:szCs w:val="24"/>
          <w:highlight w:val="none"/>
          <w:lang w:eastAsia="zh-CN"/>
        </w:rPr>
        <w:t>5.1改造内容：</w:t>
      </w:r>
      <w:r>
        <w:rPr>
          <w:rFonts w:hint="eastAsia" w:asciiTheme="minorEastAsia" w:hAnsiTheme="minorEastAsia"/>
          <w:color w:val="auto"/>
          <w:kern w:val="2"/>
          <w:sz w:val="24"/>
          <w:szCs w:val="24"/>
          <w:highlight w:val="none"/>
          <w:u w:val="single"/>
          <w:lang w:val="en-US" w:eastAsia="zh-CN"/>
        </w:rPr>
        <w:t xml:space="preserve">   信阳   </w:t>
      </w:r>
      <w:r>
        <w:rPr>
          <w:rFonts w:hint="eastAsia" w:asciiTheme="minorEastAsia" w:hAnsiTheme="minorEastAsia"/>
          <w:color w:val="auto"/>
          <w:kern w:val="2"/>
          <w:sz w:val="24"/>
          <w:szCs w:val="24"/>
          <w:highlight w:val="none"/>
          <w:lang w:val="en-US" w:eastAsia="zh-CN"/>
        </w:rPr>
        <w:t>市</w:t>
      </w:r>
      <w:r>
        <w:rPr>
          <w:rFonts w:hint="eastAsia" w:asciiTheme="minorEastAsia" w:hAnsiTheme="minorEastAsia"/>
          <w:color w:val="auto"/>
          <w:kern w:val="2"/>
          <w:sz w:val="24"/>
          <w:szCs w:val="24"/>
          <w:highlight w:val="none"/>
          <w:u w:val="single"/>
          <w:lang w:val="en-US" w:eastAsia="zh-CN"/>
        </w:rPr>
        <w:t>30</w:t>
      </w:r>
      <w:r>
        <w:rPr>
          <w:rFonts w:hint="eastAsia" w:asciiTheme="minorEastAsia" w:hAnsiTheme="minorEastAsia"/>
          <w:color w:val="auto"/>
          <w:kern w:val="2"/>
          <w:sz w:val="24"/>
          <w:szCs w:val="24"/>
          <w:highlight w:val="none"/>
          <w:lang w:val="en-US" w:eastAsia="zh-CN"/>
        </w:rPr>
        <w:t>家</w:t>
      </w:r>
      <w:r>
        <w:rPr>
          <w:rFonts w:hint="eastAsia" w:ascii="宋体" w:hAnsi="宋体" w:eastAsia="宋体" w:cs="宋体"/>
          <w:color w:val="auto"/>
          <w:spacing w:val="-5"/>
          <w:sz w:val="24"/>
          <w:szCs w:val="24"/>
          <w:highlight w:val="none"/>
          <w:u w:val="none"/>
          <w:lang w:val="en-US" w:eastAsia="zh-CN"/>
        </w:rPr>
        <w:t>体育彩票专营实体店，</w:t>
      </w:r>
      <w:r>
        <w:rPr>
          <w:rFonts w:hint="eastAsia" w:ascii="宋体" w:hAnsi="宋体" w:eastAsia="宋体" w:cs="宋体"/>
          <w:color w:val="auto"/>
          <w:spacing w:val="-5"/>
          <w:sz w:val="24"/>
          <w:szCs w:val="24"/>
          <w:highlight w:val="none"/>
          <w:u w:val="single"/>
          <w:lang w:val="en-US" w:eastAsia="zh-CN"/>
        </w:rPr>
        <w:t>162</w:t>
      </w:r>
      <w:r>
        <w:rPr>
          <w:rFonts w:hint="eastAsia" w:ascii="宋体" w:hAnsi="宋体" w:eastAsia="宋体" w:cs="宋体"/>
          <w:color w:val="auto"/>
          <w:spacing w:val="-5"/>
          <w:sz w:val="24"/>
          <w:szCs w:val="24"/>
          <w:highlight w:val="none"/>
          <w:u w:val="none"/>
          <w:lang w:val="en-US" w:eastAsia="zh-CN"/>
        </w:rPr>
        <w:t>平方米的店招制作与安装</w:t>
      </w:r>
      <w:r>
        <w:rPr>
          <w:rFonts w:hint="eastAsia" w:asciiTheme="minorEastAsia" w:hAnsiTheme="minorEastAsia"/>
          <w:color w:val="auto"/>
          <w:kern w:val="2"/>
          <w:sz w:val="24"/>
          <w:szCs w:val="24"/>
          <w:highlight w:val="none"/>
          <w:lang w:eastAsia="zh-CN"/>
        </w:rPr>
        <w:t>，包含磋商文件、图纸、清单、答疑澄清及补充文件所包括的全部内容。</w:t>
      </w:r>
    </w:p>
    <w:p w14:paraId="36D5AC81">
      <w:pPr>
        <w:spacing w:line="360" w:lineRule="auto"/>
        <w:ind w:firstLine="662" w:firstLineChars="276"/>
        <w:rPr>
          <w:rFonts w:hint="eastAsia" w:asciiTheme="minorEastAsia" w:hAnsiTheme="minorEastAsia"/>
          <w:color w:val="auto"/>
          <w:kern w:val="2"/>
          <w:sz w:val="24"/>
          <w:szCs w:val="24"/>
          <w:highlight w:val="none"/>
          <w:lang w:val="en-US" w:eastAsia="zh-CN"/>
        </w:rPr>
      </w:pPr>
      <w:r>
        <w:rPr>
          <w:rFonts w:hint="eastAsia" w:asciiTheme="minorEastAsia" w:hAnsiTheme="minorEastAsia"/>
          <w:color w:val="auto"/>
          <w:kern w:val="2"/>
          <w:sz w:val="24"/>
          <w:szCs w:val="24"/>
          <w:highlight w:val="none"/>
          <w:lang w:val="en-US" w:eastAsia="zh-CN"/>
        </w:rPr>
        <w:t xml:space="preserve">5.2项目地点：信阳市区、县区  </w:t>
      </w:r>
    </w:p>
    <w:p w14:paraId="22CDE077">
      <w:pPr>
        <w:spacing w:line="360" w:lineRule="auto"/>
        <w:ind w:firstLine="662" w:firstLineChars="276"/>
        <w:rPr>
          <w:rFonts w:hint="default" w:cs="Arial" w:asciiTheme="minorEastAsia" w:hAnsiTheme="minorEastAsia"/>
          <w:color w:val="auto"/>
          <w:kern w:val="2"/>
          <w:sz w:val="24"/>
          <w:szCs w:val="24"/>
          <w:highlight w:val="none"/>
          <w:lang w:val="en-US" w:eastAsia="zh-CN"/>
        </w:rPr>
      </w:pPr>
      <w:r>
        <w:rPr>
          <w:rFonts w:hint="eastAsia" w:cs="Arial" w:asciiTheme="minorEastAsia" w:hAnsiTheme="minorEastAsia"/>
          <w:color w:val="auto"/>
          <w:kern w:val="2"/>
          <w:sz w:val="24"/>
          <w:szCs w:val="24"/>
          <w:highlight w:val="none"/>
          <w:lang w:eastAsia="zh-CN"/>
        </w:rPr>
        <w:t>5.</w:t>
      </w:r>
      <w:r>
        <w:rPr>
          <w:rFonts w:hint="eastAsia" w:cs="Arial" w:asciiTheme="minorEastAsia" w:hAnsiTheme="minorEastAsia"/>
          <w:color w:val="auto"/>
          <w:kern w:val="2"/>
          <w:sz w:val="24"/>
          <w:szCs w:val="24"/>
          <w:highlight w:val="none"/>
          <w:lang w:val="en-US" w:eastAsia="zh-CN"/>
        </w:rPr>
        <w:t>3</w:t>
      </w:r>
      <w:r>
        <w:rPr>
          <w:rFonts w:hint="eastAsia" w:cs="Arial" w:asciiTheme="minorEastAsia" w:hAnsiTheme="minorEastAsia"/>
          <w:color w:val="auto"/>
          <w:kern w:val="2"/>
          <w:sz w:val="24"/>
          <w:szCs w:val="24"/>
          <w:highlight w:val="none"/>
          <w:lang w:eastAsia="zh-CN"/>
        </w:rPr>
        <w:t>计划工期：</w:t>
      </w:r>
      <w:r>
        <w:rPr>
          <w:rFonts w:hint="eastAsia" w:cs="Arial" w:asciiTheme="minorEastAsia" w:hAnsiTheme="minorEastAsia"/>
          <w:color w:val="auto"/>
          <w:kern w:val="2"/>
          <w:sz w:val="24"/>
          <w:szCs w:val="24"/>
          <w:highlight w:val="none"/>
          <w:lang w:val="en-US" w:eastAsia="zh-CN"/>
        </w:rPr>
        <w:t xml:space="preserve"> 40-50个日历日</w:t>
      </w:r>
    </w:p>
    <w:p w14:paraId="04F1DDB0">
      <w:pPr>
        <w:spacing w:line="360" w:lineRule="auto"/>
        <w:ind w:firstLine="662" w:firstLineChars="276"/>
        <w:rPr>
          <w:rFonts w:hint="eastAsia" w:cs="Arial" w:asciiTheme="minorEastAsia" w:hAnsiTheme="minorEastAsia"/>
          <w:color w:val="auto"/>
          <w:kern w:val="2"/>
          <w:sz w:val="24"/>
          <w:szCs w:val="24"/>
          <w:highlight w:val="none"/>
          <w:lang w:eastAsia="zh-CN"/>
        </w:rPr>
      </w:pPr>
      <w:r>
        <w:rPr>
          <w:rFonts w:hint="eastAsia" w:cs="Arial" w:asciiTheme="minorEastAsia" w:hAnsiTheme="minorEastAsia"/>
          <w:color w:val="auto"/>
          <w:kern w:val="2"/>
          <w:sz w:val="24"/>
          <w:szCs w:val="24"/>
          <w:highlight w:val="none"/>
          <w:lang w:eastAsia="zh-CN"/>
        </w:rPr>
        <w:t>5.</w:t>
      </w:r>
      <w:r>
        <w:rPr>
          <w:rFonts w:hint="eastAsia" w:cs="Arial" w:asciiTheme="minorEastAsia" w:hAnsiTheme="minorEastAsia"/>
          <w:color w:val="auto"/>
          <w:kern w:val="2"/>
          <w:sz w:val="24"/>
          <w:szCs w:val="24"/>
          <w:highlight w:val="none"/>
          <w:lang w:val="en-US" w:eastAsia="zh-CN"/>
        </w:rPr>
        <w:t>4</w:t>
      </w:r>
      <w:r>
        <w:rPr>
          <w:rFonts w:hint="eastAsia" w:cs="Arial" w:asciiTheme="minorEastAsia" w:hAnsiTheme="minorEastAsia"/>
          <w:color w:val="auto"/>
          <w:kern w:val="2"/>
          <w:sz w:val="24"/>
          <w:szCs w:val="24"/>
          <w:highlight w:val="none"/>
          <w:lang w:eastAsia="zh-CN"/>
        </w:rPr>
        <w:t>质量要求：符合国家、省、市现行相关规范标准，质量达到合格要求。</w:t>
      </w:r>
    </w:p>
    <w:p w14:paraId="7A2B0A31">
      <w:pPr>
        <w:spacing w:line="360" w:lineRule="auto"/>
        <w:ind w:firstLine="662" w:firstLineChars="276"/>
        <w:rPr>
          <w:rFonts w:hint="default" w:cs="Arial" w:asciiTheme="minorEastAsia" w:hAnsiTheme="minorEastAsia"/>
          <w:color w:val="auto"/>
          <w:kern w:val="2"/>
          <w:sz w:val="24"/>
          <w:szCs w:val="24"/>
          <w:highlight w:val="none"/>
          <w:lang w:val="en-US" w:eastAsia="zh-CN"/>
        </w:rPr>
      </w:pPr>
      <w:r>
        <w:rPr>
          <w:rFonts w:hint="eastAsia" w:cs="Arial" w:asciiTheme="minorEastAsia" w:hAnsiTheme="minorEastAsia"/>
          <w:color w:val="auto"/>
          <w:kern w:val="2"/>
          <w:sz w:val="24"/>
          <w:szCs w:val="24"/>
          <w:highlight w:val="none"/>
          <w:lang w:val="en-US" w:eastAsia="zh-CN"/>
        </w:rPr>
        <w:t>5.5保修期：二年（自工程竣工验收合格之日起计算）。</w:t>
      </w:r>
    </w:p>
    <w:p w14:paraId="60DA4CEE">
      <w:pPr>
        <w:spacing w:line="360" w:lineRule="auto"/>
        <w:ind w:firstLine="662" w:firstLineChars="276"/>
        <w:rPr>
          <w:rFonts w:hint="eastAsia" w:cs="Arial" w:asciiTheme="minorEastAsia" w:hAnsiTheme="minorEastAsia"/>
          <w:color w:val="auto"/>
          <w:kern w:val="2"/>
          <w:sz w:val="24"/>
          <w:szCs w:val="24"/>
          <w:highlight w:val="none"/>
          <w:lang w:eastAsia="zh-CN"/>
        </w:rPr>
      </w:pPr>
      <w:r>
        <w:rPr>
          <w:rFonts w:hint="eastAsia" w:cs="Arial" w:asciiTheme="minorEastAsia" w:hAnsiTheme="minorEastAsia"/>
          <w:color w:val="auto"/>
          <w:kern w:val="2"/>
          <w:sz w:val="24"/>
          <w:szCs w:val="24"/>
          <w:highlight w:val="none"/>
          <w:lang w:eastAsia="zh-CN"/>
        </w:rPr>
        <w:t>5.</w:t>
      </w:r>
      <w:r>
        <w:rPr>
          <w:rFonts w:hint="eastAsia" w:cs="Arial" w:asciiTheme="minorEastAsia" w:hAnsiTheme="minorEastAsia"/>
          <w:color w:val="auto"/>
          <w:kern w:val="2"/>
          <w:sz w:val="24"/>
          <w:szCs w:val="24"/>
          <w:highlight w:val="none"/>
          <w:lang w:val="en-US" w:eastAsia="zh-CN"/>
        </w:rPr>
        <w:t>6</w:t>
      </w:r>
      <w:r>
        <w:rPr>
          <w:rFonts w:hint="eastAsia" w:cs="Arial" w:asciiTheme="minorEastAsia" w:hAnsiTheme="minorEastAsia"/>
          <w:color w:val="auto"/>
          <w:kern w:val="2"/>
          <w:sz w:val="24"/>
          <w:szCs w:val="24"/>
          <w:highlight w:val="none"/>
          <w:lang w:eastAsia="zh-CN"/>
        </w:rPr>
        <w:t>资金来源：财政资金（已落实）。</w:t>
      </w:r>
    </w:p>
    <w:p w14:paraId="6D484A2C">
      <w:pPr>
        <w:spacing w:line="360" w:lineRule="auto"/>
        <w:ind w:firstLine="662" w:firstLineChars="276"/>
        <w:rPr>
          <w:rFonts w:hint="default"/>
          <w:color w:val="auto"/>
          <w:highlight w:val="none"/>
          <w:lang w:val="en-US" w:eastAsia="zh-CN"/>
        </w:rPr>
      </w:pPr>
      <w:r>
        <w:rPr>
          <w:rFonts w:hint="eastAsia" w:cs="Arial" w:asciiTheme="minorEastAsia" w:hAnsiTheme="minorEastAsia"/>
          <w:color w:val="auto"/>
          <w:kern w:val="2"/>
          <w:sz w:val="24"/>
          <w:szCs w:val="24"/>
          <w:highlight w:val="none"/>
          <w:lang w:val="en-US" w:eastAsia="zh-CN"/>
        </w:rPr>
        <w:t>5.7</w:t>
      </w:r>
      <w:r>
        <w:rPr>
          <w:rFonts w:hint="eastAsia" w:cs="Arial" w:asciiTheme="minorEastAsia" w:hAnsiTheme="minorEastAsia"/>
          <w:color w:val="auto"/>
          <w:kern w:val="2"/>
          <w:sz w:val="24"/>
          <w:szCs w:val="24"/>
          <w:highlight w:val="none"/>
          <w:lang w:eastAsia="zh-CN"/>
        </w:rPr>
        <w:t>工程施工要求：按照项目要求及店面实际情况进行施工，在施工过程中施工单位能够达到边营业边施工（上午9点至晚上22点为营业时间，营业时间可以施工， 需做安全保护、并不影响正常营业），并负责在施工过程中与当地监督管理部门的协调工作</w:t>
      </w:r>
      <w:r>
        <w:rPr>
          <w:rFonts w:hint="eastAsia" w:asciiTheme="minorEastAsia" w:hAnsiTheme="minorEastAsia"/>
          <w:color w:val="auto"/>
          <w:kern w:val="2"/>
          <w:sz w:val="24"/>
          <w:szCs w:val="24"/>
          <w:highlight w:val="none"/>
          <w:lang w:eastAsia="zh-CN"/>
        </w:rPr>
        <w:t>，施工完成后应恢复实体店</w:t>
      </w:r>
      <w:r>
        <w:rPr>
          <w:rFonts w:hint="eastAsia" w:asciiTheme="minorEastAsia" w:hAnsiTheme="minorEastAsia"/>
          <w:color w:val="auto"/>
          <w:kern w:val="2"/>
          <w:sz w:val="24"/>
          <w:szCs w:val="24"/>
          <w:highlight w:val="none"/>
          <w:lang w:val="en-US" w:eastAsia="zh-CN"/>
        </w:rPr>
        <w:t>店外整体形象</w:t>
      </w:r>
      <w:r>
        <w:rPr>
          <w:rFonts w:hint="eastAsia" w:asciiTheme="minorEastAsia" w:hAnsiTheme="minorEastAsia"/>
          <w:color w:val="auto"/>
          <w:kern w:val="2"/>
          <w:sz w:val="24"/>
          <w:szCs w:val="24"/>
          <w:highlight w:val="none"/>
          <w:lang w:eastAsia="zh-CN"/>
        </w:rPr>
        <w:t>。</w:t>
      </w:r>
    </w:p>
    <w:p w14:paraId="25CD8A7D">
      <w:pPr>
        <w:spacing w:line="360" w:lineRule="auto"/>
        <w:ind w:firstLine="424" w:firstLineChars="177"/>
        <w:rPr>
          <w:rFonts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6、合同履行期限：至保修期结束。</w:t>
      </w:r>
    </w:p>
    <w:p w14:paraId="67627557">
      <w:pPr>
        <w:spacing w:line="360" w:lineRule="auto"/>
        <w:ind w:firstLine="424" w:firstLineChars="177"/>
        <w:rPr>
          <w:rFonts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7、本项目是否接受联合体投标：否。</w:t>
      </w:r>
    </w:p>
    <w:p w14:paraId="7F3E6ACD">
      <w:pPr>
        <w:spacing w:line="360" w:lineRule="auto"/>
        <w:ind w:firstLine="424" w:firstLineChars="177"/>
        <w:rPr>
          <w:rFonts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8、是否接受进口产品：否。</w:t>
      </w:r>
    </w:p>
    <w:p w14:paraId="4B284098">
      <w:pPr>
        <w:spacing w:line="360" w:lineRule="auto"/>
        <w:ind w:firstLine="424" w:firstLineChars="177"/>
        <w:rPr>
          <w:rFonts w:hint="eastAsia"/>
          <w:color w:val="auto"/>
          <w:highlight w:val="none"/>
          <w:lang w:eastAsia="zh-CN"/>
        </w:rPr>
      </w:pPr>
      <w:r>
        <w:rPr>
          <w:rFonts w:hint="eastAsia" w:asciiTheme="minorEastAsia" w:hAnsiTheme="minorEastAsia"/>
          <w:color w:val="auto"/>
          <w:kern w:val="2"/>
          <w:sz w:val="24"/>
          <w:szCs w:val="24"/>
          <w:highlight w:val="none"/>
          <w:lang w:eastAsia="zh-CN"/>
        </w:rPr>
        <w:t>9、是否专门面向中小企业：否。</w:t>
      </w:r>
    </w:p>
    <w:p w14:paraId="6115C4D0">
      <w:pPr>
        <w:spacing w:line="360" w:lineRule="auto"/>
        <w:rPr>
          <w:rFonts w:ascii="宋体" w:hAnsi="宋体" w:eastAsia="宋体"/>
          <w:b/>
          <w:color w:val="auto"/>
          <w:sz w:val="24"/>
          <w:szCs w:val="24"/>
          <w:highlight w:val="none"/>
          <w:lang w:eastAsia="zh-CN"/>
        </w:rPr>
      </w:pPr>
      <w:r>
        <w:rPr>
          <w:rFonts w:hint="eastAsia" w:ascii="宋体" w:hAnsi="宋体" w:eastAsia="宋体"/>
          <w:b/>
          <w:color w:val="auto"/>
          <w:sz w:val="24"/>
          <w:szCs w:val="24"/>
          <w:highlight w:val="none"/>
          <w:lang w:eastAsia="zh-CN"/>
        </w:rPr>
        <w:t>二、申请人资格要求：</w:t>
      </w:r>
    </w:p>
    <w:p w14:paraId="500C1FB6">
      <w:pPr>
        <w:spacing w:line="360" w:lineRule="auto"/>
        <w:ind w:firstLine="424" w:firstLineChars="177"/>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1、</w:t>
      </w:r>
      <w:r>
        <w:rPr>
          <w:rFonts w:hint="eastAsia" w:ascii="宋体" w:hAnsi="宋体" w:eastAsia="宋体"/>
          <w:color w:val="auto"/>
          <w:sz w:val="24"/>
          <w:szCs w:val="24"/>
          <w:highlight w:val="none"/>
          <w:lang w:val="zh-CN" w:eastAsia="zh-CN"/>
        </w:rPr>
        <w:t>具有独立承担民事责任的能力；（提供法人或者其他组织的营业执照等证明文件）；</w:t>
      </w:r>
    </w:p>
    <w:p w14:paraId="3978A5B6">
      <w:pPr>
        <w:spacing w:line="360" w:lineRule="auto"/>
        <w:ind w:firstLine="424" w:firstLineChars="177"/>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2、</w:t>
      </w:r>
      <w:r>
        <w:rPr>
          <w:rFonts w:hint="eastAsia" w:ascii="宋体" w:hAnsi="宋体" w:eastAsia="宋体"/>
          <w:color w:val="auto"/>
          <w:sz w:val="24"/>
          <w:szCs w:val="24"/>
          <w:highlight w:val="none"/>
          <w:lang w:val="zh-CN" w:eastAsia="zh-CN"/>
        </w:rPr>
        <w:t>具有良好的商业信誉和健全的财务会计制度（提供2023年度经审计的财务审计报告或基本户银行开具的资信证明）；</w:t>
      </w:r>
    </w:p>
    <w:p w14:paraId="5D7FDA37">
      <w:pPr>
        <w:spacing w:line="360" w:lineRule="auto"/>
        <w:ind w:firstLine="424" w:firstLineChars="177"/>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3、</w:t>
      </w:r>
      <w:r>
        <w:rPr>
          <w:rFonts w:hint="eastAsia" w:ascii="宋体" w:hAnsi="宋体" w:eastAsia="宋体"/>
          <w:color w:val="auto"/>
          <w:sz w:val="24"/>
          <w:szCs w:val="24"/>
          <w:highlight w:val="none"/>
          <w:lang w:val="zh-CN" w:eastAsia="zh-CN"/>
        </w:rPr>
        <w:t>具有履行合同所必需的设备和专业技术能力（提供承诺书，格式自拟）；</w:t>
      </w:r>
    </w:p>
    <w:p w14:paraId="62993020">
      <w:pPr>
        <w:spacing w:line="360" w:lineRule="auto"/>
        <w:ind w:firstLine="424" w:firstLineChars="177"/>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lang w:val="zh-CN" w:eastAsia="zh-CN"/>
        </w:rPr>
        <w:t>有依法缴纳税收和社会保障资金的良好记录（提供202</w:t>
      </w: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lang w:val="zh-CN" w:eastAsia="zh-CN"/>
        </w:rPr>
        <w:t>年</w:t>
      </w:r>
      <w:r>
        <w:rPr>
          <w:rFonts w:hint="eastAsia" w:ascii="宋体" w:hAnsi="宋体" w:eastAsia="宋体"/>
          <w:color w:val="auto"/>
          <w:sz w:val="24"/>
          <w:szCs w:val="24"/>
          <w:highlight w:val="none"/>
          <w:lang w:val="en-US" w:eastAsia="zh-CN"/>
        </w:rPr>
        <w:t>1</w:t>
      </w:r>
      <w:r>
        <w:rPr>
          <w:rFonts w:hint="eastAsia" w:ascii="宋体" w:hAnsi="宋体" w:eastAsia="宋体"/>
          <w:color w:val="auto"/>
          <w:sz w:val="24"/>
          <w:szCs w:val="24"/>
          <w:highlight w:val="none"/>
          <w:lang w:val="zh-CN" w:eastAsia="zh-CN"/>
        </w:rPr>
        <w:t>月1日以来任意1个月的依法纳税和社会保障资金缴纳证明（银行扣款回单或税局开具的凭据或缴纳清单等，依法免税或不需要缴纳社会保障资金企业，应提供相关证明文件））；</w:t>
      </w:r>
    </w:p>
    <w:p w14:paraId="06F2ABBA">
      <w:pPr>
        <w:spacing w:line="360" w:lineRule="auto"/>
        <w:ind w:firstLine="424" w:firstLineChars="177"/>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lang w:val="zh-CN" w:eastAsia="zh-CN"/>
        </w:rPr>
        <w:t>参加政府采购活动前三年内，在经营活动中没有重大违法记录（提供承诺书，格式自拟）；</w:t>
      </w:r>
    </w:p>
    <w:p w14:paraId="0C25445E">
      <w:pPr>
        <w:spacing w:line="360" w:lineRule="auto"/>
        <w:ind w:firstLine="424" w:firstLineChars="177"/>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lang w:eastAsia="zh-CN"/>
        </w:rPr>
        <w:t>信誉要求：</w:t>
      </w:r>
      <w:r>
        <w:rPr>
          <w:rFonts w:hint="eastAsia" w:ascii="宋体" w:hAnsi="宋体" w:eastAsia="宋体"/>
          <w:color w:val="auto"/>
          <w:sz w:val="24"/>
          <w:szCs w:val="24"/>
          <w:highlight w:val="none"/>
          <w:lang w:val="zh-CN" w:eastAsia="zh-CN"/>
        </w:rPr>
        <w:t>对列入失信被执行人、重大税收违法案件当事人名单（重大税收违法失信主体）、政府采购严重违法失信行为记录名单的投标人，拒绝参与本项目政府采购活动</w:t>
      </w:r>
      <w:r>
        <w:rPr>
          <w:rFonts w:hint="eastAsia" w:ascii="宋体" w:hAnsi="宋体" w:eastAsia="宋体"/>
          <w:color w:val="auto"/>
          <w:sz w:val="24"/>
          <w:szCs w:val="24"/>
          <w:highlight w:val="none"/>
          <w:lang w:eastAsia="zh-CN"/>
        </w:rPr>
        <w:t>。投标人应将查询截图附到响应文件中，开标时采购人根据需要自行核查，如核查情况与响应文件不一致时，以采购人现场核查结果为准【查询渠道：“信用中国”网站（www.creditchina.gov.cn）和中国政府采购网（</w:t>
      </w:r>
      <w:r>
        <w:rPr>
          <w:rFonts w:hint="eastAsia" w:ascii="宋体" w:hAnsi="宋体" w:eastAsia="宋体"/>
          <w:color w:val="auto"/>
          <w:sz w:val="24"/>
          <w:szCs w:val="24"/>
          <w:highlight w:val="none"/>
          <w:lang w:eastAsia="zh-CN"/>
        </w:rPr>
        <w:fldChar w:fldCharType="begin"/>
      </w:r>
      <w:r>
        <w:rPr>
          <w:rFonts w:hint="eastAsia" w:ascii="宋体" w:hAnsi="宋体" w:eastAsia="宋体"/>
          <w:color w:val="auto"/>
          <w:sz w:val="24"/>
          <w:szCs w:val="24"/>
          <w:highlight w:val="none"/>
          <w:lang w:eastAsia="zh-CN"/>
        </w:rPr>
        <w:instrText xml:space="preserve"> HYPERLINK "http://www.ccgp.gov.cn）】"</w:instrText>
      </w:r>
      <w:r>
        <w:rPr>
          <w:rFonts w:hint="eastAsia" w:ascii="宋体" w:hAnsi="宋体" w:eastAsia="宋体"/>
          <w:color w:val="auto"/>
          <w:sz w:val="24"/>
          <w:szCs w:val="24"/>
          <w:highlight w:val="none"/>
          <w:lang w:eastAsia="zh-CN"/>
        </w:rPr>
        <w:fldChar w:fldCharType="separate"/>
      </w:r>
      <w:r>
        <w:rPr>
          <w:rFonts w:hint="eastAsia" w:ascii="宋体" w:hAnsi="宋体" w:eastAsia="宋体"/>
          <w:color w:val="auto"/>
          <w:sz w:val="24"/>
          <w:szCs w:val="24"/>
          <w:highlight w:val="none"/>
          <w:lang w:eastAsia="zh-CN"/>
        </w:rPr>
        <w:t>www.ccgp.gov.cn）】</w:t>
      </w:r>
      <w:r>
        <w:rPr>
          <w:rFonts w:hint="eastAsia" w:ascii="宋体" w:hAnsi="宋体" w:eastAsia="宋体"/>
          <w:color w:val="auto"/>
          <w:sz w:val="24"/>
          <w:szCs w:val="24"/>
          <w:highlight w:val="none"/>
          <w:lang w:eastAsia="zh-CN"/>
        </w:rPr>
        <w:fldChar w:fldCharType="end"/>
      </w:r>
      <w:r>
        <w:rPr>
          <w:rFonts w:hint="eastAsia" w:ascii="宋体" w:hAnsi="宋体" w:eastAsia="宋体"/>
          <w:color w:val="auto"/>
          <w:sz w:val="24"/>
          <w:szCs w:val="24"/>
          <w:highlight w:val="none"/>
          <w:lang w:eastAsia="zh-CN"/>
        </w:rPr>
        <w:t>；</w:t>
      </w:r>
    </w:p>
    <w:p w14:paraId="39481059">
      <w:pPr>
        <w:spacing w:line="360" w:lineRule="auto"/>
        <w:ind w:firstLine="424" w:firstLineChars="177"/>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7、</w:t>
      </w:r>
      <w:r>
        <w:rPr>
          <w:rFonts w:hint="eastAsia" w:ascii="宋体" w:hAnsi="宋体" w:eastAsia="宋体"/>
          <w:color w:val="auto"/>
          <w:sz w:val="24"/>
          <w:szCs w:val="24"/>
          <w:highlight w:val="none"/>
          <w:lang w:val="zh-CN" w:eastAsia="zh-CN"/>
        </w:rPr>
        <w:t>企业资质要求：供应商须具有建设行政主管部门颁发的建筑工程施工总承包叁级或装饰装修工程专业承包贰级及以上资质，具有有效的安全生产许可证；</w:t>
      </w:r>
    </w:p>
    <w:p w14:paraId="336E7803">
      <w:pPr>
        <w:spacing w:line="360" w:lineRule="auto"/>
        <w:ind w:firstLine="424" w:firstLineChars="177"/>
        <w:rPr>
          <w:rFonts w:hint="eastAsia" w:ascii="宋体" w:hAnsi="宋体" w:eastAsia="宋体"/>
          <w:color w:val="auto"/>
          <w:sz w:val="24"/>
          <w:szCs w:val="24"/>
          <w:highlight w:val="none"/>
          <w:lang w:val="zh-CN" w:eastAsia="zh-CN"/>
        </w:rPr>
      </w:pPr>
      <w:r>
        <w:rPr>
          <w:rFonts w:hint="eastAsia" w:ascii="宋体" w:hAnsi="宋体" w:eastAsia="宋体"/>
          <w:color w:val="auto"/>
          <w:sz w:val="24"/>
          <w:szCs w:val="24"/>
          <w:highlight w:val="none"/>
          <w:lang w:val="en-US" w:eastAsia="zh-CN"/>
        </w:rPr>
        <w:t>8、</w:t>
      </w:r>
      <w:r>
        <w:rPr>
          <w:rFonts w:hint="eastAsia" w:ascii="宋体" w:hAnsi="宋体" w:eastAsia="宋体"/>
          <w:color w:val="auto"/>
          <w:sz w:val="24"/>
          <w:szCs w:val="24"/>
          <w:highlight w:val="none"/>
          <w:lang w:val="zh-CN" w:eastAsia="zh-CN"/>
        </w:rPr>
        <w:t>拟派项目经理要求：供应商拟派项目经理须具有建设部门颁发的建筑工程专业贰级（含）以上注册建造师资格（不含临时建造师）,具备有效的安全生产考核合格证书，且未担任其他在施建设工程项目的项目经理，为供应商正式在职人员（具有劳动合同和依法缴纳社保的相关材料）；</w:t>
      </w:r>
    </w:p>
    <w:p w14:paraId="6DBA096C">
      <w:pPr>
        <w:spacing w:line="360" w:lineRule="auto"/>
        <w:ind w:firstLine="424" w:firstLineChars="177"/>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9、</w:t>
      </w:r>
      <w:r>
        <w:rPr>
          <w:rFonts w:hint="eastAsia" w:ascii="宋体" w:hAnsi="宋体" w:eastAsia="宋体"/>
          <w:color w:val="auto"/>
          <w:sz w:val="24"/>
          <w:szCs w:val="24"/>
          <w:highlight w:val="none"/>
          <w:lang w:val="zh-CN" w:eastAsia="zh-CN"/>
        </w:rPr>
        <w:t>其他要求：</w:t>
      </w:r>
      <w:r>
        <w:rPr>
          <w:rFonts w:hint="eastAsia" w:ascii="宋体" w:hAnsi="宋体" w:eastAsia="宋体"/>
          <w:color w:val="auto"/>
          <w:sz w:val="24"/>
          <w:szCs w:val="24"/>
          <w:highlight w:val="none"/>
          <w:lang w:val="en-US" w:eastAsia="zh-CN"/>
        </w:rPr>
        <w:t>单位负责人为同一人或者存在直接控股、管理关系的不同投标人，不得参加同一合同项下的政府采购活动，提供声明函；</w:t>
      </w:r>
    </w:p>
    <w:p w14:paraId="19C91210">
      <w:pPr>
        <w:spacing w:line="360" w:lineRule="auto"/>
        <w:ind w:firstLine="424" w:firstLineChars="177"/>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10、本次招标不接受联合体投标。</w:t>
      </w:r>
    </w:p>
    <w:p w14:paraId="6CF6B042">
      <w:pPr>
        <w:spacing w:line="360" w:lineRule="auto"/>
        <w:rPr>
          <w:rFonts w:ascii="宋体" w:hAnsi="宋体" w:eastAsia="宋体"/>
          <w:b/>
          <w:color w:val="auto"/>
          <w:sz w:val="24"/>
          <w:szCs w:val="24"/>
          <w:highlight w:val="none"/>
          <w:lang w:eastAsia="zh-CN"/>
        </w:rPr>
      </w:pPr>
      <w:r>
        <w:rPr>
          <w:rFonts w:hint="eastAsia" w:ascii="宋体" w:hAnsi="宋体" w:eastAsia="宋体"/>
          <w:b/>
          <w:color w:val="auto"/>
          <w:sz w:val="24"/>
          <w:szCs w:val="24"/>
          <w:highlight w:val="none"/>
          <w:lang w:eastAsia="zh-CN"/>
        </w:rPr>
        <w:t>三、</w:t>
      </w:r>
      <w:r>
        <w:rPr>
          <w:rFonts w:hint="eastAsia" w:ascii="宋体" w:hAnsi="宋体" w:cs="宋体"/>
          <w:b/>
          <w:bCs/>
          <w:color w:val="auto"/>
          <w:sz w:val="24"/>
          <w:highlight w:val="none"/>
        </w:rPr>
        <w:t>磋商文件的获取：</w:t>
      </w:r>
    </w:p>
    <w:p w14:paraId="010F0C4C">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1.时间：</w:t>
      </w:r>
      <w:r>
        <w:rPr>
          <w:rFonts w:hint="eastAsia" w:ascii="宋体" w:hAnsi="宋体" w:eastAsia="宋体"/>
          <w:color w:val="auto"/>
          <w:sz w:val="24"/>
          <w:szCs w:val="24"/>
          <w:highlight w:val="none"/>
          <w:lang w:val="en-US" w:eastAsia="zh-CN"/>
        </w:rPr>
        <w:t>2024 年 10 月 23 日至 2024 年 10月 25 日，每天上午</w:t>
      </w:r>
      <w:r>
        <w:rPr>
          <w:rFonts w:hint="eastAsia" w:ascii="宋体" w:hAnsi="宋体" w:cs="宋体"/>
          <w:color w:val="auto"/>
          <w:sz w:val="24"/>
          <w:highlight w:val="none"/>
        </w:rPr>
        <w:t xml:space="preserve">8:30至12:00，下午14:30至17:30（北京时间，法定节假日除外。） </w:t>
      </w:r>
    </w:p>
    <w:p w14:paraId="23298F9E">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.方式：</w:t>
      </w:r>
      <w:r>
        <w:rPr>
          <w:rFonts w:hint="eastAsia" w:hAnsi="宋体"/>
          <w:color w:val="auto"/>
          <w:sz w:val="24"/>
          <w:szCs w:val="24"/>
          <w:highlight w:val="none"/>
        </w:rPr>
        <w:t>本项目采取网上获取</w:t>
      </w:r>
      <w:r>
        <w:rPr>
          <w:rFonts w:hint="eastAsia" w:hAnsi="宋体"/>
          <w:color w:val="auto"/>
          <w:sz w:val="24"/>
          <w:szCs w:val="24"/>
          <w:highlight w:val="none"/>
          <w:lang w:val="en-US" w:eastAsia="zh-CN"/>
        </w:rPr>
        <w:t>自主磋商</w:t>
      </w:r>
      <w:r>
        <w:rPr>
          <w:rFonts w:hint="eastAsia" w:hAnsi="宋体"/>
          <w:color w:val="auto"/>
          <w:sz w:val="24"/>
          <w:szCs w:val="24"/>
          <w:highlight w:val="none"/>
          <w:lang w:eastAsia="zh-CN"/>
        </w:rPr>
        <w:t>文件</w:t>
      </w:r>
      <w:r>
        <w:rPr>
          <w:rFonts w:hint="eastAsia" w:hAnsi="宋体"/>
          <w:color w:val="auto"/>
          <w:sz w:val="24"/>
          <w:szCs w:val="24"/>
          <w:highlight w:val="none"/>
          <w:lang w:val="en-US" w:eastAsia="zh-CN"/>
        </w:rPr>
        <w:t>的</w:t>
      </w:r>
      <w:r>
        <w:rPr>
          <w:rFonts w:hint="eastAsia" w:hAnsi="宋体"/>
          <w:color w:val="auto"/>
          <w:sz w:val="24"/>
          <w:szCs w:val="24"/>
          <w:highlight w:val="none"/>
        </w:rPr>
        <w:t>方式，潜在投标</w:t>
      </w:r>
      <w:r>
        <w:rPr>
          <w:rFonts w:hint="eastAsia" w:hAnsi="宋体"/>
          <w:color w:val="auto"/>
          <w:sz w:val="24"/>
          <w:szCs w:val="24"/>
          <w:highlight w:val="none"/>
          <w:lang w:val="en-US" w:eastAsia="zh-CN"/>
        </w:rPr>
        <w:t>人</w:t>
      </w:r>
      <w:r>
        <w:rPr>
          <w:rFonts w:hint="eastAsia" w:hAnsi="宋体"/>
          <w:color w:val="auto"/>
          <w:sz w:val="24"/>
          <w:szCs w:val="24"/>
          <w:highlight w:val="none"/>
        </w:rPr>
        <w:t>可</w:t>
      </w:r>
      <w:r>
        <w:rPr>
          <w:rFonts w:hint="eastAsia" w:hAnsi="宋体"/>
          <w:color w:val="auto"/>
          <w:sz w:val="24"/>
          <w:szCs w:val="24"/>
          <w:highlight w:val="none"/>
          <w:lang w:val="en-US" w:eastAsia="zh-CN"/>
        </w:rPr>
        <w:t>将</w:t>
      </w:r>
      <w:r>
        <w:rPr>
          <w:rFonts w:hint="eastAsia" w:hAnsi="宋体"/>
          <w:color w:val="auto"/>
          <w:sz w:val="24"/>
          <w:szCs w:val="24"/>
          <w:highlight w:val="none"/>
        </w:rPr>
        <w:t>“法人授权委托书</w:t>
      </w:r>
      <w:r>
        <w:rPr>
          <w:rFonts w:hint="eastAsia" w:hAnsi="宋体"/>
          <w:color w:val="auto"/>
          <w:sz w:val="24"/>
          <w:szCs w:val="24"/>
          <w:highlight w:val="none"/>
          <w:lang w:eastAsia="zh-CN"/>
        </w:rPr>
        <w:t>、</w:t>
      </w:r>
      <w:r>
        <w:rPr>
          <w:rFonts w:hint="eastAsia" w:hAnsi="宋体"/>
          <w:color w:val="auto"/>
          <w:sz w:val="24"/>
          <w:szCs w:val="24"/>
          <w:highlight w:val="none"/>
        </w:rPr>
        <w:t>代理人身份证</w:t>
      </w:r>
      <w:r>
        <w:rPr>
          <w:rFonts w:hint="eastAsia" w:hAnsi="宋体"/>
          <w:color w:val="auto"/>
          <w:sz w:val="24"/>
          <w:szCs w:val="24"/>
          <w:highlight w:val="none"/>
          <w:lang w:eastAsia="zh-CN"/>
        </w:rPr>
        <w:t>扫描件</w:t>
      </w:r>
      <w:r>
        <w:rPr>
          <w:rFonts w:hint="eastAsia" w:hAnsi="宋体"/>
          <w:color w:val="auto"/>
          <w:sz w:val="24"/>
          <w:szCs w:val="24"/>
          <w:highlight w:val="none"/>
        </w:rPr>
        <w:t>（若法定代表人直接</w:t>
      </w:r>
      <w:r>
        <w:rPr>
          <w:rFonts w:hint="eastAsia" w:hAnsi="宋体"/>
          <w:color w:val="auto"/>
          <w:sz w:val="24"/>
          <w:szCs w:val="24"/>
          <w:highlight w:val="none"/>
          <w:lang w:val="en-US" w:eastAsia="zh-CN"/>
        </w:rPr>
        <w:t>报名</w:t>
      </w:r>
      <w:r>
        <w:rPr>
          <w:rFonts w:hint="eastAsia" w:hAnsi="宋体"/>
          <w:color w:val="auto"/>
          <w:sz w:val="24"/>
          <w:szCs w:val="24"/>
          <w:highlight w:val="none"/>
        </w:rPr>
        <w:t>提供法定代表人身份证</w:t>
      </w:r>
      <w:r>
        <w:rPr>
          <w:rFonts w:hint="eastAsia" w:hAnsi="宋体"/>
          <w:color w:val="auto"/>
          <w:sz w:val="24"/>
          <w:szCs w:val="24"/>
          <w:highlight w:val="none"/>
          <w:lang w:val="en-US" w:eastAsia="zh-CN"/>
        </w:rPr>
        <w:t>扫描件</w:t>
      </w:r>
      <w:r>
        <w:rPr>
          <w:rFonts w:hint="eastAsia" w:hAnsi="宋体"/>
          <w:color w:val="auto"/>
          <w:sz w:val="24"/>
          <w:szCs w:val="24"/>
          <w:highlight w:val="none"/>
        </w:rPr>
        <w:t>即可）及加盖公章</w:t>
      </w:r>
      <w:r>
        <w:rPr>
          <w:rFonts w:hint="eastAsia" w:hAnsi="宋体"/>
          <w:color w:val="auto"/>
          <w:sz w:val="24"/>
          <w:szCs w:val="24"/>
          <w:highlight w:val="none"/>
          <w:lang w:eastAsia="zh-CN"/>
        </w:rPr>
        <w:t>的</w:t>
      </w:r>
      <w:r>
        <w:rPr>
          <w:rFonts w:hint="eastAsia" w:hAnsi="宋体"/>
          <w:color w:val="auto"/>
          <w:sz w:val="24"/>
          <w:szCs w:val="24"/>
          <w:highlight w:val="none"/>
        </w:rPr>
        <w:t>营业执照</w:t>
      </w:r>
      <w:r>
        <w:rPr>
          <w:rFonts w:hint="eastAsia" w:hAnsi="宋体"/>
          <w:color w:val="auto"/>
          <w:sz w:val="24"/>
          <w:szCs w:val="24"/>
          <w:highlight w:val="none"/>
          <w:lang w:eastAsia="zh-CN"/>
        </w:rPr>
        <w:t>扫描件</w:t>
      </w:r>
      <w:r>
        <w:rPr>
          <w:rFonts w:hint="eastAsia" w:hAnsi="宋体"/>
          <w:color w:val="auto"/>
          <w:sz w:val="24"/>
          <w:szCs w:val="24"/>
          <w:highlight w:val="none"/>
        </w:rPr>
        <w:t>发至</w:t>
      </w:r>
      <w:r>
        <w:rPr>
          <w:rFonts w:hint="eastAsia" w:ascii="宋体" w:hAnsi="宋体" w:eastAsia="宋体" w:cs="宋体"/>
          <w:color w:val="auto"/>
          <w:sz w:val="24"/>
          <w:szCs w:val="24"/>
          <w:highlight w:val="none"/>
          <w:u w:val="single"/>
          <w:lang w:val="en-US" w:eastAsia="zh-CN"/>
        </w:rPr>
        <w:t xml:space="preserve"> 750601797@qq.com </w:t>
      </w:r>
      <w:r>
        <w:rPr>
          <w:rFonts w:hint="eastAsia" w:hAnsi="宋体"/>
          <w:color w:val="auto"/>
          <w:sz w:val="24"/>
          <w:szCs w:val="24"/>
          <w:highlight w:val="none"/>
        </w:rPr>
        <w:t>邮箱（邮件主题为：项目名称+公司名称+</w:t>
      </w:r>
      <w:r>
        <w:rPr>
          <w:rFonts w:hint="eastAsia" w:hAnsi="宋体"/>
          <w:color w:val="auto"/>
          <w:sz w:val="24"/>
          <w:szCs w:val="24"/>
          <w:highlight w:val="none"/>
          <w:lang w:val="en-US" w:eastAsia="zh-CN"/>
        </w:rPr>
        <w:t>联系人</w:t>
      </w:r>
      <w:r>
        <w:rPr>
          <w:rFonts w:hint="eastAsia" w:hAnsi="宋体"/>
          <w:color w:val="auto"/>
          <w:sz w:val="24"/>
          <w:szCs w:val="24"/>
          <w:highlight w:val="none"/>
        </w:rPr>
        <w:t>+联系电话），收到上述资料待审核合格后，将</w:t>
      </w:r>
      <w:r>
        <w:rPr>
          <w:rFonts w:hint="eastAsia" w:hAnsi="宋体"/>
          <w:color w:val="auto"/>
          <w:sz w:val="24"/>
          <w:szCs w:val="24"/>
          <w:highlight w:val="none"/>
          <w:lang w:val="en-US" w:eastAsia="zh-CN"/>
        </w:rPr>
        <w:t>自主磋商</w:t>
      </w:r>
      <w:r>
        <w:rPr>
          <w:rFonts w:hint="eastAsia" w:hAnsi="宋体"/>
          <w:color w:val="auto"/>
          <w:sz w:val="24"/>
          <w:szCs w:val="24"/>
          <w:highlight w:val="none"/>
          <w:lang w:eastAsia="zh-CN"/>
        </w:rPr>
        <w:t>文件</w:t>
      </w:r>
      <w:r>
        <w:rPr>
          <w:rFonts w:hint="eastAsia" w:hAnsi="宋体"/>
          <w:color w:val="auto"/>
          <w:sz w:val="24"/>
          <w:szCs w:val="24"/>
          <w:highlight w:val="none"/>
        </w:rPr>
        <w:t>回传至潜在投标</w:t>
      </w:r>
      <w:r>
        <w:rPr>
          <w:rFonts w:hint="eastAsia" w:hAnsi="宋体"/>
          <w:color w:val="auto"/>
          <w:sz w:val="24"/>
          <w:szCs w:val="24"/>
          <w:highlight w:val="none"/>
          <w:lang w:val="en-US" w:eastAsia="zh-CN"/>
        </w:rPr>
        <w:t>人</w:t>
      </w:r>
      <w:r>
        <w:rPr>
          <w:rFonts w:hint="eastAsia" w:hAnsi="宋体"/>
          <w:color w:val="auto"/>
          <w:sz w:val="24"/>
          <w:szCs w:val="24"/>
          <w:highlight w:val="none"/>
        </w:rPr>
        <w:t>邮箱，请潜在投标</w:t>
      </w:r>
      <w:r>
        <w:rPr>
          <w:rFonts w:hint="eastAsia" w:hAnsi="宋体"/>
          <w:color w:val="auto"/>
          <w:sz w:val="24"/>
          <w:szCs w:val="24"/>
          <w:highlight w:val="none"/>
          <w:lang w:val="en-US" w:eastAsia="zh-CN"/>
        </w:rPr>
        <w:t>人</w:t>
      </w:r>
      <w:r>
        <w:rPr>
          <w:rFonts w:hint="eastAsia" w:hAnsi="宋体"/>
          <w:color w:val="auto"/>
          <w:sz w:val="24"/>
          <w:szCs w:val="24"/>
          <w:highlight w:val="none"/>
        </w:rPr>
        <w:t>注意查收。如不及时查收自行负责，</w:t>
      </w:r>
      <w:r>
        <w:rPr>
          <w:rFonts w:hint="eastAsia" w:hAnsi="宋体"/>
          <w:color w:val="auto"/>
          <w:sz w:val="24"/>
          <w:szCs w:val="24"/>
          <w:highlight w:val="none"/>
          <w:lang w:val="en-US" w:eastAsia="zh-CN"/>
        </w:rPr>
        <w:t>采购</w:t>
      </w:r>
      <w:r>
        <w:rPr>
          <w:rFonts w:hint="eastAsia" w:hAnsi="宋体"/>
          <w:color w:val="auto"/>
          <w:sz w:val="24"/>
          <w:szCs w:val="24"/>
          <w:highlight w:val="none"/>
        </w:rPr>
        <w:t>人不承担任何责任。</w:t>
      </w:r>
    </w:p>
    <w:p w14:paraId="18169059">
      <w:pPr>
        <w:spacing w:line="360" w:lineRule="auto"/>
        <w:ind w:firstLine="360" w:firstLineChars="150"/>
        <w:jc w:val="left"/>
        <w:rPr>
          <w:rFonts w:hint="eastAsia" w:ascii="宋体" w:hAnsi="宋体" w:cs="宋体"/>
          <w:bCs/>
          <w:color w:val="auto"/>
          <w:sz w:val="24"/>
          <w:highlight w:val="none"/>
        </w:rPr>
      </w:pPr>
      <w:r>
        <w:rPr>
          <w:rFonts w:hint="eastAsia" w:ascii="宋体" w:hAnsi="宋体" w:cs="宋体"/>
          <w:color w:val="auto"/>
          <w:sz w:val="24"/>
          <w:highlight w:val="none"/>
        </w:rPr>
        <w:t>注：本项目资格后审。</w:t>
      </w:r>
    </w:p>
    <w:p w14:paraId="772A8081">
      <w:pPr>
        <w:pStyle w:val="8"/>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四、响应文件截止时间及地点：</w:t>
      </w:r>
    </w:p>
    <w:p w14:paraId="5AE1CFF6">
      <w:pPr>
        <w:spacing w:line="360" w:lineRule="auto"/>
        <w:ind w:firstLine="360" w:firstLineChars="150"/>
        <w:jc w:val="left"/>
        <w:rPr>
          <w:rFonts w:hint="eastAsia" w:hAnsi="宋体"/>
          <w:color w:val="auto"/>
          <w:sz w:val="24"/>
          <w:szCs w:val="24"/>
          <w:highlight w:val="none"/>
        </w:rPr>
      </w:pPr>
      <w:r>
        <w:rPr>
          <w:rFonts w:hint="eastAsia" w:ascii="宋体" w:hAnsi="宋体" w:cs="宋体"/>
          <w:bCs/>
          <w:color w:val="auto"/>
          <w:sz w:val="24"/>
          <w:highlight w:val="none"/>
          <w:lang w:val="en-US" w:eastAsia="zh-CN"/>
        </w:rPr>
        <w:t>1.</w:t>
      </w:r>
      <w:r>
        <w:rPr>
          <w:rFonts w:hint="eastAsia" w:ascii="宋体" w:hAnsi="宋体" w:cs="宋体"/>
          <w:bCs/>
          <w:color w:val="auto"/>
          <w:sz w:val="24"/>
          <w:highlight w:val="none"/>
        </w:rPr>
        <w:t>响应文件的递交截止时间</w:t>
      </w:r>
      <w:r>
        <w:rPr>
          <w:rFonts w:hint="eastAsia" w:hAnsi="宋体"/>
          <w:color w:val="auto"/>
          <w:sz w:val="24"/>
          <w:szCs w:val="24"/>
          <w:highlight w:val="none"/>
        </w:rPr>
        <w:t>：</w:t>
      </w:r>
      <w:r>
        <w:rPr>
          <w:rFonts w:hint="eastAsia" w:hAnsi="宋体"/>
          <w:color w:val="auto"/>
          <w:sz w:val="24"/>
          <w:szCs w:val="24"/>
          <w:highlight w:val="none"/>
          <w:lang w:val="en-US" w:eastAsia="zh-CN"/>
        </w:rPr>
        <w:t xml:space="preserve">2024 </w:t>
      </w:r>
      <w:r>
        <w:rPr>
          <w:rFonts w:hint="eastAsia" w:hAnsi="宋体"/>
          <w:color w:val="auto"/>
          <w:sz w:val="24"/>
          <w:szCs w:val="24"/>
          <w:highlight w:val="none"/>
        </w:rPr>
        <w:t>年</w:t>
      </w:r>
      <w:r>
        <w:rPr>
          <w:rFonts w:hint="eastAsia" w:hAnsi="宋体"/>
          <w:color w:val="auto"/>
          <w:sz w:val="24"/>
          <w:szCs w:val="24"/>
          <w:highlight w:val="none"/>
          <w:lang w:val="en-US" w:eastAsia="zh-CN"/>
        </w:rPr>
        <w:t xml:space="preserve">10 </w:t>
      </w:r>
      <w:r>
        <w:rPr>
          <w:rFonts w:hint="eastAsia" w:hAnsi="宋体"/>
          <w:color w:val="auto"/>
          <w:sz w:val="24"/>
          <w:szCs w:val="24"/>
          <w:highlight w:val="none"/>
        </w:rPr>
        <w:t>月</w:t>
      </w:r>
      <w:r>
        <w:rPr>
          <w:rFonts w:hint="eastAsia" w:hAnsi="宋体"/>
          <w:color w:val="auto"/>
          <w:sz w:val="24"/>
          <w:szCs w:val="24"/>
          <w:highlight w:val="none"/>
          <w:lang w:val="en-US" w:eastAsia="zh-CN"/>
        </w:rPr>
        <w:t xml:space="preserve">25 </w:t>
      </w:r>
      <w:r>
        <w:rPr>
          <w:rFonts w:hint="eastAsia" w:hAnsi="宋体"/>
          <w:color w:val="auto"/>
          <w:sz w:val="24"/>
          <w:szCs w:val="24"/>
          <w:highlight w:val="none"/>
        </w:rPr>
        <w:t>日</w:t>
      </w:r>
      <w:r>
        <w:rPr>
          <w:rFonts w:hint="eastAsia" w:hAnsi="宋体"/>
          <w:color w:val="auto"/>
          <w:sz w:val="24"/>
          <w:szCs w:val="24"/>
          <w:highlight w:val="none"/>
          <w:lang w:val="en-US" w:eastAsia="zh-CN"/>
        </w:rPr>
        <w:t xml:space="preserve">17 </w:t>
      </w:r>
      <w:r>
        <w:rPr>
          <w:rFonts w:hint="eastAsia" w:hAnsi="宋体"/>
          <w:color w:val="auto"/>
          <w:sz w:val="24"/>
          <w:szCs w:val="24"/>
          <w:highlight w:val="none"/>
        </w:rPr>
        <w:t>时</w:t>
      </w:r>
      <w:r>
        <w:rPr>
          <w:rFonts w:hint="eastAsia" w:hAnsi="宋体"/>
          <w:color w:val="auto"/>
          <w:sz w:val="24"/>
          <w:szCs w:val="24"/>
          <w:highlight w:val="none"/>
          <w:lang w:val="en-US" w:eastAsia="zh-CN"/>
        </w:rPr>
        <w:t xml:space="preserve"> 30</w:t>
      </w:r>
      <w:r>
        <w:rPr>
          <w:rFonts w:hint="eastAsia" w:hAnsi="宋体"/>
          <w:color w:val="auto"/>
          <w:sz w:val="24"/>
          <w:szCs w:val="24"/>
          <w:highlight w:val="none"/>
        </w:rPr>
        <w:t>分（北京时间）</w:t>
      </w:r>
    </w:p>
    <w:p w14:paraId="14B38C4E">
      <w:pPr>
        <w:spacing w:line="360" w:lineRule="auto"/>
        <w:ind w:firstLine="360" w:firstLineChars="150"/>
        <w:jc w:val="left"/>
        <w:rPr>
          <w:rFonts w:hint="default" w:hAnsi="宋体" w:eastAsiaTheme="minorEastAsia"/>
          <w:color w:val="auto"/>
          <w:sz w:val="24"/>
          <w:szCs w:val="24"/>
          <w:highlight w:val="none"/>
          <w:lang w:val="en-US" w:eastAsia="zh-CN"/>
        </w:rPr>
      </w:pPr>
      <w:r>
        <w:rPr>
          <w:rFonts w:hint="eastAsia" w:hAnsi="宋体"/>
          <w:color w:val="auto"/>
          <w:sz w:val="24"/>
          <w:szCs w:val="24"/>
          <w:highlight w:val="none"/>
          <w:lang w:val="en-US" w:eastAsia="zh-CN"/>
        </w:rPr>
        <w:t>2.</w:t>
      </w:r>
      <w:r>
        <w:rPr>
          <w:rFonts w:hint="eastAsia" w:hAnsi="宋体"/>
          <w:color w:val="auto"/>
          <w:sz w:val="24"/>
          <w:szCs w:val="24"/>
          <w:highlight w:val="none"/>
        </w:rPr>
        <w:t>地点：</w:t>
      </w:r>
      <w:r>
        <w:rPr>
          <w:rFonts w:hint="eastAsia" w:hAnsi="宋体"/>
          <w:color w:val="auto"/>
          <w:sz w:val="24"/>
          <w:szCs w:val="24"/>
          <w:highlight w:val="none"/>
          <w:lang w:val="en-US" w:eastAsia="zh-CN"/>
        </w:rPr>
        <w:t>河南省体育彩票管理中心信阳分中心</w:t>
      </w:r>
    </w:p>
    <w:p w14:paraId="5366B4F9">
      <w:pPr>
        <w:spacing w:line="360" w:lineRule="auto"/>
        <w:jc w:val="left"/>
        <w:rPr>
          <w:rFonts w:hint="eastAsia" w:ascii="宋体" w:hAnsi="宋体" w:eastAsia="宋体" w:cs="宋体"/>
          <w:b/>
          <w:bCs/>
          <w:snapToGrid w:val="0"/>
          <w:color w:val="auto"/>
          <w:kern w:val="0"/>
          <w:sz w:val="24"/>
          <w:szCs w:val="21"/>
          <w:highlight w:val="none"/>
          <w:lang w:val="en-US" w:eastAsia="en-US" w:bidi="ar-SA"/>
        </w:rPr>
      </w:pPr>
      <w:r>
        <w:rPr>
          <w:rFonts w:hint="eastAsia" w:ascii="宋体" w:hAnsi="宋体" w:eastAsia="宋体" w:cs="宋体"/>
          <w:b/>
          <w:bCs/>
          <w:snapToGrid w:val="0"/>
          <w:color w:val="auto"/>
          <w:kern w:val="0"/>
          <w:sz w:val="24"/>
          <w:szCs w:val="21"/>
          <w:highlight w:val="none"/>
          <w:lang w:val="en-US" w:eastAsia="en-US" w:bidi="ar-SA"/>
        </w:rPr>
        <w:t>五、开标时间及地点：</w:t>
      </w:r>
    </w:p>
    <w:p w14:paraId="49EFD816">
      <w:pPr>
        <w:spacing w:line="360" w:lineRule="auto"/>
        <w:ind w:firstLine="360" w:firstLineChars="150"/>
        <w:jc w:val="left"/>
        <w:rPr>
          <w:rFonts w:hint="eastAsia" w:ascii="宋体" w:hAnsi="宋体" w:cs="宋体"/>
          <w:bCs/>
          <w:color w:val="auto"/>
          <w:sz w:val="24"/>
          <w:highlight w:val="none"/>
        </w:rPr>
      </w:pPr>
      <w:r>
        <w:rPr>
          <w:rFonts w:hint="eastAsia" w:hAnsi="宋体"/>
          <w:color w:val="auto"/>
          <w:sz w:val="24"/>
          <w:szCs w:val="24"/>
          <w:highlight w:val="none"/>
          <w:lang w:val="en-US" w:eastAsia="zh-CN"/>
        </w:rPr>
        <w:t>1.</w:t>
      </w:r>
      <w:r>
        <w:rPr>
          <w:rFonts w:hint="eastAsia" w:hAnsi="宋体"/>
          <w:color w:val="auto"/>
          <w:sz w:val="24"/>
          <w:szCs w:val="24"/>
          <w:highlight w:val="none"/>
        </w:rPr>
        <w:t>时间：</w:t>
      </w:r>
      <w:r>
        <w:rPr>
          <w:rFonts w:hint="eastAsia" w:hAnsi="宋体"/>
          <w:color w:val="auto"/>
          <w:sz w:val="24"/>
          <w:szCs w:val="24"/>
          <w:highlight w:val="none"/>
          <w:lang w:val="en-US" w:eastAsia="zh-CN"/>
        </w:rPr>
        <w:t xml:space="preserve">2024 </w:t>
      </w:r>
      <w:r>
        <w:rPr>
          <w:rFonts w:hint="eastAsia" w:hAnsi="宋体"/>
          <w:color w:val="auto"/>
          <w:sz w:val="24"/>
          <w:szCs w:val="24"/>
          <w:highlight w:val="none"/>
        </w:rPr>
        <w:t>年</w:t>
      </w:r>
      <w:r>
        <w:rPr>
          <w:rFonts w:hint="eastAsia" w:hAnsi="宋体"/>
          <w:color w:val="auto"/>
          <w:sz w:val="24"/>
          <w:szCs w:val="24"/>
          <w:highlight w:val="none"/>
          <w:lang w:val="en-US" w:eastAsia="zh-CN"/>
        </w:rPr>
        <w:t xml:space="preserve"> 10</w:t>
      </w:r>
      <w:r>
        <w:rPr>
          <w:rFonts w:hint="eastAsia" w:hAnsi="宋体"/>
          <w:color w:val="auto"/>
          <w:sz w:val="24"/>
          <w:szCs w:val="24"/>
          <w:highlight w:val="none"/>
        </w:rPr>
        <w:t>月</w:t>
      </w:r>
      <w:r>
        <w:rPr>
          <w:rFonts w:hint="eastAsia" w:hAnsi="宋体"/>
          <w:color w:val="auto"/>
          <w:sz w:val="24"/>
          <w:szCs w:val="24"/>
          <w:highlight w:val="none"/>
          <w:lang w:val="en-US" w:eastAsia="zh-CN"/>
        </w:rPr>
        <w:t xml:space="preserve">28 </w:t>
      </w:r>
      <w:r>
        <w:rPr>
          <w:rFonts w:hint="eastAsia" w:hAnsi="宋体"/>
          <w:color w:val="auto"/>
          <w:sz w:val="24"/>
          <w:szCs w:val="24"/>
          <w:highlight w:val="none"/>
        </w:rPr>
        <w:t>日</w:t>
      </w:r>
      <w:r>
        <w:rPr>
          <w:rFonts w:hint="eastAsia" w:hAnsi="宋体"/>
          <w:color w:val="auto"/>
          <w:sz w:val="24"/>
          <w:szCs w:val="24"/>
          <w:highlight w:val="none"/>
          <w:lang w:val="en-US" w:eastAsia="zh-CN"/>
        </w:rPr>
        <w:t xml:space="preserve"> 15</w:t>
      </w:r>
      <w:r>
        <w:rPr>
          <w:rFonts w:hint="eastAsia" w:hAnsi="宋体"/>
          <w:color w:val="auto"/>
          <w:sz w:val="24"/>
          <w:szCs w:val="24"/>
          <w:highlight w:val="none"/>
        </w:rPr>
        <w:t>时</w:t>
      </w:r>
      <w:r>
        <w:rPr>
          <w:rFonts w:hint="eastAsia" w:hAnsi="宋体"/>
          <w:color w:val="auto"/>
          <w:sz w:val="24"/>
          <w:szCs w:val="24"/>
          <w:highlight w:val="none"/>
          <w:lang w:val="en-US" w:eastAsia="zh-CN"/>
        </w:rPr>
        <w:t xml:space="preserve"> 30</w:t>
      </w:r>
      <w:r>
        <w:rPr>
          <w:rFonts w:hint="eastAsia" w:hAnsi="宋体"/>
          <w:color w:val="auto"/>
          <w:sz w:val="24"/>
          <w:szCs w:val="24"/>
          <w:highlight w:val="none"/>
        </w:rPr>
        <w:t>分（北京</w:t>
      </w:r>
      <w:r>
        <w:rPr>
          <w:rFonts w:hint="eastAsia" w:ascii="宋体" w:hAnsi="宋体" w:cs="宋体"/>
          <w:bCs/>
          <w:color w:val="auto"/>
          <w:sz w:val="24"/>
          <w:highlight w:val="none"/>
        </w:rPr>
        <w:t>时间）</w:t>
      </w:r>
    </w:p>
    <w:p w14:paraId="7126600A">
      <w:pPr>
        <w:spacing w:line="360" w:lineRule="auto"/>
        <w:ind w:firstLine="360" w:firstLineChars="150"/>
        <w:jc w:val="left"/>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地点：</w:t>
      </w:r>
      <w:r>
        <w:rPr>
          <w:rFonts w:hint="eastAsia" w:ascii="宋体" w:hAnsi="宋体" w:cs="宋体"/>
          <w:color w:val="auto"/>
          <w:sz w:val="24"/>
          <w:highlight w:val="none"/>
          <w:lang w:val="en-US" w:eastAsia="zh-CN"/>
        </w:rPr>
        <w:t>河南省体育彩票管理中心信阳分中心二楼会议室</w:t>
      </w:r>
      <w:bookmarkStart w:id="571" w:name="_GoBack"/>
      <w:bookmarkEnd w:id="571"/>
    </w:p>
    <w:p w14:paraId="1F8617D5">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六、发布公告的媒介及招标公告期限</w:t>
      </w:r>
    </w:p>
    <w:p w14:paraId="015AA78A">
      <w:pPr>
        <w:tabs>
          <w:tab w:val="left" w:pos="2940"/>
        </w:tabs>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本次自主磋商公告在《河南省体育彩票网》上发布</w:t>
      </w:r>
      <w:r>
        <w:rPr>
          <w:rFonts w:hint="eastAsia" w:ascii="宋体" w:hAnsi="宋体" w:cs="宋体"/>
          <w:color w:val="auto"/>
          <w:sz w:val="24"/>
          <w:highlight w:val="none"/>
          <w:lang w:val="en-US" w:eastAsia="zh-CN"/>
        </w:rPr>
        <w:t>或按招标制度根据标底金额在相关平台发布</w:t>
      </w:r>
      <w:r>
        <w:rPr>
          <w:rFonts w:hint="eastAsia" w:ascii="宋体" w:hAnsi="宋体" w:cs="宋体"/>
          <w:color w:val="auto"/>
          <w:sz w:val="24"/>
          <w:highlight w:val="none"/>
        </w:rPr>
        <w:t>。</w:t>
      </w:r>
    </w:p>
    <w:p w14:paraId="315C94E4">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七、联系方式</w:t>
      </w:r>
    </w:p>
    <w:p w14:paraId="47D23DA3">
      <w:pPr>
        <w:spacing w:line="360" w:lineRule="auto"/>
        <w:ind w:firstLine="566" w:firstLineChars="236"/>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rPr>
        <w:t>1. 采购人：</w:t>
      </w:r>
      <w:r>
        <w:rPr>
          <w:rFonts w:hint="eastAsia" w:ascii="宋体" w:hAnsi="宋体" w:cs="宋体"/>
          <w:color w:val="auto"/>
          <w:sz w:val="24"/>
          <w:highlight w:val="none"/>
          <w:lang w:val="en-US" w:eastAsia="zh-CN"/>
        </w:rPr>
        <w:t>河南省体育彩票管理中心信阳分中心</w:t>
      </w:r>
    </w:p>
    <w:p w14:paraId="683985CA">
      <w:pPr>
        <w:spacing w:line="360" w:lineRule="auto"/>
        <w:ind w:firstLine="566" w:firstLineChars="236"/>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信阳市新六大街幸福人家小区东门门面房</w:t>
      </w:r>
    </w:p>
    <w:p w14:paraId="481D0A15">
      <w:pPr>
        <w:spacing w:line="360" w:lineRule="auto"/>
        <w:ind w:firstLine="566" w:firstLineChars="236"/>
        <w:rPr>
          <w:rFonts w:hint="eastAsia" w:ascii="宋体" w:hAnsi="宋体" w:cs="宋体" w:eastAsiaTheme="minorEastAsia"/>
          <w:color w:val="auto"/>
          <w:sz w:val="24"/>
          <w:highlight w:val="none"/>
          <w:lang w:val="en-US" w:eastAsia="zh-CN"/>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张老师</w:t>
      </w:r>
    </w:p>
    <w:p w14:paraId="2DA772F9">
      <w:pPr>
        <w:spacing w:line="360" w:lineRule="auto"/>
        <w:ind w:firstLine="566" w:firstLineChars="236"/>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rPr>
        <w:t>联系方式：</w:t>
      </w:r>
      <w:r>
        <w:rPr>
          <w:rFonts w:hint="eastAsia" w:ascii="宋体" w:hAnsi="宋体" w:cs="宋体"/>
          <w:color w:val="auto"/>
          <w:sz w:val="24"/>
          <w:highlight w:val="none"/>
          <w:lang w:val="en-US" w:eastAsia="zh-CN"/>
        </w:rPr>
        <w:t>0376-6239301</w:t>
      </w:r>
    </w:p>
    <w:p w14:paraId="2FF895E9">
      <w:pPr>
        <w:pStyle w:val="21"/>
        <w:rPr>
          <w:rFonts w:hint="default" w:eastAsia="宋体"/>
          <w:color w:val="auto"/>
          <w:highlight w:val="none"/>
          <w:lang w:val="en-US" w:eastAsia="zh-CN"/>
        </w:rPr>
      </w:pPr>
      <w:r>
        <w:rPr>
          <w:rFonts w:hint="eastAsia" w:cs="宋体"/>
          <w:color w:val="auto"/>
          <w:sz w:val="24"/>
          <w:highlight w:val="none"/>
          <w:lang w:val="en-US" w:eastAsia="zh-CN"/>
        </w:rPr>
        <w:t xml:space="preserve">   </w:t>
      </w:r>
      <w:r>
        <w:rPr>
          <w:rFonts w:hint="eastAsia" w:cs="宋体"/>
          <w:color w:val="auto"/>
          <w:sz w:val="24"/>
          <w:highlight w:val="none"/>
          <w:lang w:eastAsia="zh-CN"/>
        </w:rPr>
        <w:t>邮箱：</w:t>
      </w:r>
      <w:r>
        <w:rPr>
          <w:rFonts w:hint="eastAsia" w:cs="宋体"/>
          <w:color w:val="auto"/>
          <w:sz w:val="24"/>
          <w:highlight w:val="none"/>
          <w:lang w:val="en-US" w:eastAsia="zh-CN"/>
        </w:rPr>
        <w:t>750601797@qq.com</w:t>
      </w:r>
    </w:p>
    <w:p w14:paraId="72B0FD0B">
      <w:pPr>
        <w:kinsoku/>
        <w:autoSpaceDE/>
        <w:autoSpaceDN/>
        <w:adjustRightInd/>
        <w:snapToGrid/>
        <w:textAlignment w:val="auto"/>
        <w:rPr>
          <w:rFonts w:ascii="宋体" w:hAnsi="宋体" w:eastAsia="宋体"/>
          <w:b/>
          <w:color w:val="auto"/>
          <w:sz w:val="24"/>
          <w:szCs w:val="24"/>
          <w:lang w:eastAsia="zh-CN"/>
        </w:rPr>
      </w:pPr>
      <w:r>
        <w:rPr>
          <w:rFonts w:ascii="宋体" w:hAnsi="宋体" w:eastAsia="宋体"/>
          <w:b/>
          <w:color w:val="auto"/>
          <w:sz w:val="24"/>
          <w:szCs w:val="24"/>
          <w:lang w:eastAsia="zh-CN"/>
        </w:rPr>
        <w:br w:type="page"/>
      </w:r>
    </w:p>
    <w:p w14:paraId="4F987255">
      <w:pPr>
        <w:rPr>
          <w:color w:val="auto"/>
        </w:rPr>
      </w:pPr>
      <w:bookmarkStart w:id="3" w:name="_Toc2363"/>
    </w:p>
    <w:p w14:paraId="684A4903">
      <w:pPr>
        <w:pStyle w:val="5"/>
        <w:spacing w:line="360" w:lineRule="auto"/>
        <w:jc w:val="center"/>
        <w:rPr>
          <w:color w:val="auto"/>
          <w:sz w:val="28"/>
          <w:szCs w:val="28"/>
          <w:lang w:eastAsia="zh-CN"/>
        </w:rPr>
      </w:pPr>
      <w:r>
        <w:rPr>
          <w:color w:val="auto"/>
          <w:sz w:val="28"/>
          <w:szCs w:val="28"/>
          <w:lang w:eastAsia="zh-CN"/>
        </w:rPr>
        <w:t>第二章供应商须知</w:t>
      </w:r>
      <w:bookmarkEnd w:id="3"/>
    </w:p>
    <w:p w14:paraId="08225E15">
      <w:pPr>
        <w:spacing w:line="360" w:lineRule="auto"/>
        <w:jc w:val="center"/>
        <w:rPr>
          <w:b/>
          <w:color w:val="auto"/>
          <w:sz w:val="24"/>
          <w:szCs w:val="24"/>
          <w:lang w:eastAsia="zh-CN"/>
        </w:rPr>
      </w:pPr>
      <w:r>
        <w:rPr>
          <w:rFonts w:hint="eastAsia"/>
          <w:b/>
          <w:color w:val="auto"/>
          <w:sz w:val="24"/>
          <w:szCs w:val="24"/>
          <w:lang w:eastAsia="zh-CN"/>
        </w:rPr>
        <w:t>供应商须知前附表</w:t>
      </w:r>
    </w:p>
    <w:tbl>
      <w:tblPr>
        <w:tblStyle w:val="24"/>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26"/>
        <w:gridCol w:w="1515"/>
        <w:gridCol w:w="6271"/>
      </w:tblGrid>
      <w:tr w14:paraId="59EC50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16FEB2DA">
            <w:pPr>
              <w:spacing w:line="360" w:lineRule="auto"/>
              <w:jc w:val="center"/>
              <w:rPr>
                <w:rFonts w:ascii="宋体" w:hAnsi="宋体" w:eastAsia="宋体"/>
                <w:color w:val="auto"/>
                <w:spacing w:val="7"/>
                <w:sz w:val="24"/>
                <w:szCs w:val="24"/>
                <w:lang w:eastAsia="zh-CN"/>
              </w:rPr>
            </w:pPr>
            <w:r>
              <w:rPr>
                <w:rFonts w:ascii="宋体" w:hAnsi="宋体" w:eastAsia="宋体" w:cs="宋体"/>
                <w:color w:val="auto"/>
                <w:spacing w:val="-2"/>
                <w:sz w:val="24"/>
                <w:szCs w:val="24"/>
              </w:rPr>
              <w:t>序号</w:t>
            </w:r>
          </w:p>
        </w:tc>
        <w:tc>
          <w:tcPr>
            <w:tcW w:w="1515" w:type="dxa"/>
            <w:vAlign w:val="center"/>
          </w:tcPr>
          <w:p w14:paraId="6033B22D">
            <w:pPr>
              <w:spacing w:line="360" w:lineRule="auto"/>
              <w:jc w:val="center"/>
              <w:rPr>
                <w:rFonts w:ascii="宋体" w:hAnsi="宋体" w:eastAsia="宋体"/>
                <w:color w:val="auto"/>
                <w:spacing w:val="7"/>
                <w:sz w:val="24"/>
                <w:szCs w:val="24"/>
                <w:lang w:eastAsia="zh-CN"/>
              </w:rPr>
            </w:pPr>
            <w:r>
              <w:rPr>
                <w:rFonts w:ascii="宋体" w:hAnsi="宋体" w:eastAsia="宋体" w:cs="宋体"/>
                <w:color w:val="auto"/>
                <w:spacing w:val="-7"/>
                <w:sz w:val="24"/>
                <w:szCs w:val="24"/>
              </w:rPr>
              <w:t>条款名称</w:t>
            </w:r>
          </w:p>
        </w:tc>
        <w:tc>
          <w:tcPr>
            <w:tcW w:w="6271" w:type="dxa"/>
            <w:vAlign w:val="center"/>
          </w:tcPr>
          <w:p w14:paraId="48FC07D3">
            <w:pPr>
              <w:spacing w:line="360" w:lineRule="auto"/>
              <w:jc w:val="both"/>
              <w:rPr>
                <w:rFonts w:ascii="宋体" w:hAnsi="宋体" w:eastAsia="宋体"/>
                <w:color w:val="auto"/>
                <w:spacing w:val="7"/>
                <w:sz w:val="24"/>
                <w:szCs w:val="24"/>
                <w:lang w:eastAsia="zh-CN"/>
              </w:rPr>
            </w:pPr>
            <w:r>
              <w:rPr>
                <w:rFonts w:ascii="宋体" w:hAnsi="宋体" w:eastAsia="宋体" w:cs="宋体"/>
                <w:color w:val="auto"/>
                <w:spacing w:val="-14"/>
                <w:sz w:val="24"/>
                <w:szCs w:val="24"/>
              </w:rPr>
              <w:t>编列内容</w:t>
            </w:r>
          </w:p>
        </w:tc>
      </w:tr>
      <w:tr w14:paraId="0A3FE8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473FDEEE">
            <w:pPr>
              <w:spacing w:line="360" w:lineRule="auto"/>
              <w:jc w:val="center"/>
              <w:rPr>
                <w:rFonts w:ascii="宋体" w:hAnsi="宋体" w:eastAsia="宋体"/>
                <w:color w:val="auto"/>
                <w:spacing w:val="7"/>
                <w:sz w:val="24"/>
                <w:szCs w:val="24"/>
                <w:lang w:eastAsia="zh-CN"/>
              </w:rPr>
            </w:pPr>
            <w:r>
              <w:rPr>
                <w:rFonts w:ascii="宋体" w:hAnsi="宋体" w:eastAsia="宋体" w:cs="宋体"/>
                <w:color w:val="auto"/>
                <w:spacing w:val="-5"/>
                <w:sz w:val="24"/>
                <w:szCs w:val="24"/>
              </w:rPr>
              <w:t>1.1.2</w:t>
            </w:r>
          </w:p>
        </w:tc>
        <w:tc>
          <w:tcPr>
            <w:tcW w:w="1515" w:type="dxa"/>
            <w:vAlign w:val="center"/>
          </w:tcPr>
          <w:p w14:paraId="25EA6AC8">
            <w:pPr>
              <w:spacing w:line="360" w:lineRule="auto"/>
              <w:jc w:val="center"/>
              <w:rPr>
                <w:rFonts w:ascii="宋体" w:hAnsi="宋体" w:eastAsia="宋体"/>
                <w:color w:val="auto"/>
                <w:spacing w:val="7"/>
                <w:sz w:val="24"/>
                <w:szCs w:val="24"/>
                <w:lang w:eastAsia="zh-CN"/>
              </w:rPr>
            </w:pPr>
            <w:r>
              <w:rPr>
                <w:rFonts w:ascii="宋体" w:hAnsi="宋体" w:eastAsia="宋体" w:cs="宋体"/>
                <w:color w:val="auto"/>
                <w:spacing w:val="-1"/>
                <w:sz w:val="24"/>
                <w:szCs w:val="24"/>
              </w:rPr>
              <w:t>采购人</w:t>
            </w:r>
          </w:p>
        </w:tc>
        <w:tc>
          <w:tcPr>
            <w:tcW w:w="6271" w:type="dxa"/>
            <w:vAlign w:val="center"/>
          </w:tcPr>
          <w:p w14:paraId="052CF0ED">
            <w:pPr>
              <w:spacing w:line="360" w:lineRule="auto"/>
              <w:rPr>
                <w:rFonts w:hint="eastAsia" w:ascii="宋体" w:hAnsi="宋体" w:cs="宋体"/>
                <w:color w:val="auto"/>
                <w:sz w:val="24"/>
              </w:rPr>
            </w:pPr>
            <w:r>
              <w:rPr>
                <w:rFonts w:hint="eastAsia" w:ascii="宋体" w:hAnsi="宋体" w:cs="宋体"/>
                <w:color w:val="auto"/>
                <w:sz w:val="24"/>
              </w:rPr>
              <w:t>采购人：</w:t>
            </w:r>
          </w:p>
          <w:p w14:paraId="690883CA">
            <w:pPr>
              <w:spacing w:line="360" w:lineRule="auto"/>
              <w:rPr>
                <w:rFonts w:hint="eastAsia" w:ascii="宋体" w:hAnsi="宋体" w:cs="宋体"/>
                <w:color w:val="auto"/>
                <w:sz w:val="24"/>
              </w:rPr>
            </w:pPr>
            <w:r>
              <w:rPr>
                <w:rFonts w:hint="eastAsia" w:ascii="宋体" w:hAnsi="宋体" w:cs="宋体"/>
                <w:color w:val="auto"/>
                <w:sz w:val="24"/>
              </w:rPr>
              <w:t>地址：</w:t>
            </w:r>
          </w:p>
          <w:p w14:paraId="62102371">
            <w:pPr>
              <w:spacing w:line="360" w:lineRule="auto"/>
              <w:rPr>
                <w:rFonts w:hint="eastAsia" w:ascii="宋体" w:hAnsi="宋体" w:cs="宋体"/>
                <w:color w:val="auto"/>
                <w:sz w:val="24"/>
              </w:rPr>
            </w:pPr>
            <w:r>
              <w:rPr>
                <w:rFonts w:hint="eastAsia" w:ascii="宋体" w:hAnsi="宋体" w:cs="宋体"/>
                <w:color w:val="auto"/>
                <w:sz w:val="24"/>
              </w:rPr>
              <w:t>联系人：</w:t>
            </w:r>
          </w:p>
          <w:p w14:paraId="6D72674F">
            <w:pPr>
              <w:spacing w:line="360" w:lineRule="auto"/>
              <w:rPr>
                <w:rFonts w:hint="eastAsia" w:ascii="宋体" w:hAnsi="宋体" w:cs="宋体"/>
                <w:color w:val="auto"/>
                <w:sz w:val="24"/>
              </w:rPr>
            </w:pPr>
            <w:r>
              <w:rPr>
                <w:rFonts w:hint="eastAsia" w:ascii="宋体" w:hAnsi="宋体" w:cs="宋体"/>
                <w:color w:val="auto"/>
                <w:sz w:val="24"/>
              </w:rPr>
              <w:t>联系方式：</w:t>
            </w:r>
          </w:p>
          <w:p w14:paraId="1C23A136">
            <w:pPr>
              <w:pStyle w:val="21"/>
              <w:ind w:left="0" w:leftChars="0" w:firstLine="0" w:firstLineChars="0"/>
              <w:rPr>
                <w:rFonts w:hint="eastAsia" w:eastAsia="宋体"/>
                <w:color w:val="auto"/>
                <w:lang w:eastAsia="zh-CN"/>
              </w:rPr>
            </w:pPr>
            <w:r>
              <w:rPr>
                <w:rFonts w:hint="eastAsia" w:cs="宋体"/>
                <w:color w:val="auto"/>
                <w:sz w:val="24"/>
                <w:lang w:eastAsia="zh-CN"/>
              </w:rPr>
              <w:t>邮箱：</w:t>
            </w:r>
          </w:p>
        </w:tc>
      </w:tr>
      <w:tr w14:paraId="557E73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374AFAD5">
            <w:pPr>
              <w:spacing w:line="360" w:lineRule="auto"/>
              <w:jc w:val="center"/>
              <w:rPr>
                <w:rFonts w:ascii="宋体" w:hAnsi="宋体" w:eastAsia="宋体"/>
                <w:color w:val="auto"/>
                <w:spacing w:val="7"/>
                <w:sz w:val="24"/>
                <w:szCs w:val="24"/>
                <w:lang w:eastAsia="zh-CN"/>
              </w:rPr>
            </w:pPr>
            <w:r>
              <w:rPr>
                <w:rFonts w:ascii="宋体" w:hAnsi="宋体" w:eastAsia="宋体" w:cs="宋体"/>
                <w:color w:val="auto"/>
                <w:spacing w:val="-5"/>
                <w:sz w:val="24"/>
                <w:szCs w:val="24"/>
              </w:rPr>
              <w:t>1.1.4</w:t>
            </w:r>
          </w:p>
        </w:tc>
        <w:tc>
          <w:tcPr>
            <w:tcW w:w="1515" w:type="dxa"/>
            <w:vAlign w:val="center"/>
          </w:tcPr>
          <w:p w14:paraId="21BCE64B">
            <w:pPr>
              <w:spacing w:line="360" w:lineRule="auto"/>
              <w:jc w:val="center"/>
              <w:rPr>
                <w:rFonts w:ascii="宋体" w:hAnsi="宋体" w:eastAsia="宋体"/>
                <w:color w:val="auto"/>
                <w:spacing w:val="7"/>
                <w:sz w:val="24"/>
                <w:szCs w:val="24"/>
                <w:lang w:eastAsia="zh-CN"/>
              </w:rPr>
            </w:pPr>
            <w:r>
              <w:rPr>
                <w:rFonts w:ascii="宋体" w:hAnsi="宋体" w:eastAsia="宋体" w:cs="宋体"/>
                <w:color w:val="auto"/>
                <w:spacing w:val="-1"/>
                <w:sz w:val="24"/>
                <w:szCs w:val="24"/>
              </w:rPr>
              <w:t>采购方式</w:t>
            </w:r>
          </w:p>
        </w:tc>
        <w:tc>
          <w:tcPr>
            <w:tcW w:w="6271" w:type="dxa"/>
            <w:vAlign w:val="center"/>
          </w:tcPr>
          <w:p w14:paraId="596E9DF0">
            <w:pPr>
              <w:spacing w:line="360" w:lineRule="auto"/>
              <w:jc w:val="both"/>
              <w:rPr>
                <w:rFonts w:ascii="宋体" w:hAnsi="宋体" w:eastAsia="宋体"/>
                <w:color w:val="auto"/>
                <w:spacing w:val="7"/>
                <w:sz w:val="24"/>
                <w:szCs w:val="24"/>
                <w:lang w:eastAsia="zh-CN"/>
              </w:rPr>
            </w:pPr>
            <w:r>
              <w:rPr>
                <w:rFonts w:hint="eastAsia" w:ascii="宋体" w:hAnsi="宋体" w:eastAsia="宋体"/>
                <w:color w:val="auto"/>
                <w:spacing w:val="7"/>
                <w:sz w:val="24"/>
                <w:szCs w:val="24"/>
                <w:lang w:eastAsia="zh-CN"/>
              </w:rPr>
              <w:t>自主磋商</w:t>
            </w:r>
          </w:p>
        </w:tc>
      </w:tr>
      <w:tr w14:paraId="022F3B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66724190">
            <w:pPr>
              <w:spacing w:before="69" w:line="183" w:lineRule="auto"/>
              <w:jc w:val="center"/>
              <w:rPr>
                <w:rFonts w:ascii="宋体" w:hAnsi="宋体" w:eastAsia="宋体" w:cs="宋体"/>
                <w:color w:val="auto"/>
                <w:sz w:val="24"/>
                <w:szCs w:val="24"/>
              </w:rPr>
            </w:pPr>
            <w:r>
              <w:rPr>
                <w:rFonts w:ascii="宋体" w:hAnsi="宋体" w:eastAsia="宋体" w:cs="宋体"/>
                <w:color w:val="auto"/>
                <w:spacing w:val="-5"/>
                <w:sz w:val="24"/>
                <w:szCs w:val="24"/>
              </w:rPr>
              <w:t>1.1.5</w:t>
            </w:r>
          </w:p>
        </w:tc>
        <w:tc>
          <w:tcPr>
            <w:tcW w:w="1515" w:type="dxa"/>
            <w:vAlign w:val="center"/>
          </w:tcPr>
          <w:p w14:paraId="301B27A4">
            <w:pPr>
              <w:spacing w:before="68" w:line="220" w:lineRule="auto"/>
              <w:jc w:val="center"/>
              <w:rPr>
                <w:rFonts w:ascii="宋体" w:hAnsi="宋体" w:eastAsia="宋体" w:cs="宋体"/>
                <w:color w:val="auto"/>
                <w:sz w:val="24"/>
                <w:szCs w:val="24"/>
              </w:rPr>
            </w:pPr>
            <w:r>
              <w:rPr>
                <w:rFonts w:ascii="宋体" w:hAnsi="宋体" w:eastAsia="宋体" w:cs="宋体"/>
                <w:color w:val="auto"/>
                <w:spacing w:val="-1"/>
                <w:sz w:val="24"/>
                <w:szCs w:val="24"/>
              </w:rPr>
              <w:t>项目名称及采购编号</w:t>
            </w:r>
          </w:p>
        </w:tc>
        <w:tc>
          <w:tcPr>
            <w:tcW w:w="6271" w:type="dxa"/>
            <w:vAlign w:val="center"/>
          </w:tcPr>
          <w:p w14:paraId="43F2A413">
            <w:pPr>
              <w:spacing w:line="360" w:lineRule="auto"/>
              <w:jc w:val="both"/>
              <w:rPr>
                <w:rFonts w:ascii="宋体" w:hAnsi="宋体" w:eastAsia="宋体"/>
                <w:color w:val="auto"/>
                <w:spacing w:val="7"/>
                <w:sz w:val="24"/>
                <w:szCs w:val="24"/>
                <w:lang w:eastAsia="zh-CN"/>
              </w:rPr>
            </w:pPr>
            <w:r>
              <w:rPr>
                <w:rFonts w:ascii="宋体" w:hAnsi="宋体" w:eastAsia="宋体"/>
                <w:color w:val="auto"/>
                <w:spacing w:val="7"/>
                <w:sz w:val="24"/>
                <w:szCs w:val="24"/>
                <w:lang w:eastAsia="zh-CN"/>
              </w:rPr>
              <w:t>项目名称：</w:t>
            </w:r>
          </w:p>
          <w:p w14:paraId="70301F55">
            <w:pPr>
              <w:spacing w:line="360" w:lineRule="auto"/>
              <w:jc w:val="both"/>
              <w:rPr>
                <w:rFonts w:ascii="宋体" w:hAnsi="宋体" w:eastAsia="宋体"/>
                <w:color w:val="auto"/>
                <w:spacing w:val="7"/>
                <w:sz w:val="24"/>
                <w:szCs w:val="24"/>
                <w:lang w:eastAsia="zh-CN"/>
              </w:rPr>
            </w:pPr>
            <w:r>
              <w:rPr>
                <w:rFonts w:ascii="宋体" w:hAnsi="宋体" w:eastAsia="宋体"/>
                <w:color w:val="auto"/>
                <w:spacing w:val="7"/>
                <w:sz w:val="24"/>
                <w:szCs w:val="24"/>
                <w:lang w:eastAsia="zh-CN"/>
              </w:rPr>
              <w:t>采购编号：</w:t>
            </w:r>
          </w:p>
        </w:tc>
      </w:tr>
      <w:tr w14:paraId="720794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2312A12">
            <w:pPr>
              <w:spacing w:before="68" w:line="183" w:lineRule="auto"/>
              <w:jc w:val="center"/>
              <w:rPr>
                <w:rFonts w:ascii="宋体" w:hAnsi="宋体" w:eastAsia="宋体" w:cs="宋体"/>
                <w:color w:val="auto"/>
                <w:sz w:val="24"/>
                <w:szCs w:val="24"/>
              </w:rPr>
            </w:pPr>
            <w:r>
              <w:rPr>
                <w:rFonts w:ascii="宋体" w:hAnsi="宋体" w:eastAsia="宋体" w:cs="宋体"/>
                <w:color w:val="auto"/>
                <w:spacing w:val="-5"/>
                <w:sz w:val="24"/>
                <w:szCs w:val="24"/>
              </w:rPr>
              <w:t>1.1.6</w:t>
            </w:r>
          </w:p>
        </w:tc>
        <w:tc>
          <w:tcPr>
            <w:tcW w:w="1515" w:type="dxa"/>
            <w:vAlign w:val="center"/>
          </w:tcPr>
          <w:p w14:paraId="3A6C65FF">
            <w:pPr>
              <w:spacing w:before="68" w:line="222" w:lineRule="auto"/>
              <w:jc w:val="center"/>
              <w:rPr>
                <w:rFonts w:ascii="宋体" w:hAnsi="宋体" w:eastAsia="宋体" w:cs="宋体"/>
                <w:color w:val="auto"/>
                <w:sz w:val="24"/>
                <w:szCs w:val="24"/>
              </w:rPr>
            </w:pPr>
            <w:r>
              <w:rPr>
                <w:rFonts w:ascii="宋体" w:hAnsi="宋体" w:eastAsia="宋体" w:cs="宋体"/>
                <w:color w:val="auto"/>
                <w:spacing w:val="-3"/>
                <w:sz w:val="24"/>
                <w:szCs w:val="24"/>
              </w:rPr>
              <w:t>建设地点</w:t>
            </w:r>
          </w:p>
        </w:tc>
        <w:tc>
          <w:tcPr>
            <w:tcW w:w="6271" w:type="dxa"/>
            <w:vAlign w:val="center"/>
          </w:tcPr>
          <w:p w14:paraId="4544C8D2">
            <w:pPr>
              <w:spacing w:line="360" w:lineRule="auto"/>
              <w:jc w:val="both"/>
              <w:rPr>
                <w:rFonts w:ascii="宋体" w:hAnsi="宋体" w:eastAsia="宋体"/>
                <w:color w:val="auto"/>
                <w:spacing w:val="7"/>
                <w:sz w:val="24"/>
                <w:szCs w:val="24"/>
                <w:lang w:eastAsia="zh-CN"/>
              </w:rPr>
            </w:pPr>
            <w:r>
              <w:rPr>
                <w:rFonts w:hint="eastAsia" w:ascii="宋体" w:hAnsi="宋体" w:eastAsia="宋体"/>
                <w:color w:val="auto"/>
                <w:spacing w:val="7"/>
                <w:sz w:val="24"/>
                <w:szCs w:val="24"/>
                <w:lang w:val="en-US" w:eastAsia="zh-CN"/>
              </w:rPr>
              <w:t xml:space="preserve"> </w:t>
            </w:r>
            <w:r>
              <w:rPr>
                <w:rFonts w:hint="eastAsia" w:ascii="宋体" w:hAnsi="宋体" w:eastAsia="宋体" w:cs="宋体"/>
                <w:color w:val="auto"/>
                <w:spacing w:val="-5"/>
                <w:sz w:val="24"/>
                <w:szCs w:val="24"/>
                <w:u w:val="single"/>
                <w:lang w:val="en-US" w:eastAsia="zh-CN"/>
              </w:rPr>
              <w:t xml:space="preserve">     </w:t>
            </w:r>
          </w:p>
        </w:tc>
      </w:tr>
      <w:tr w14:paraId="2073C1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61A4FE89">
            <w:pPr>
              <w:spacing w:before="181" w:line="183" w:lineRule="auto"/>
              <w:ind w:left="129"/>
              <w:jc w:val="center"/>
              <w:rPr>
                <w:rFonts w:ascii="宋体" w:hAnsi="宋体" w:eastAsia="宋体" w:cs="宋体"/>
                <w:color w:val="auto"/>
                <w:sz w:val="24"/>
                <w:szCs w:val="24"/>
              </w:rPr>
            </w:pPr>
            <w:r>
              <w:rPr>
                <w:rFonts w:ascii="宋体" w:hAnsi="宋体" w:eastAsia="宋体" w:cs="宋体"/>
                <w:color w:val="auto"/>
                <w:spacing w:val="-4"/>
                <w:sz w:val="24"/>
                <w:szCs w:val="24"/>
              </w:rPr>
              <w:t>1.2.1</w:t>
            </w:r>
          </w:p>
        </w:tc>
        <w:tc>
          <w:tcPr>
            <w:tcW w:w="1515" w:type="dxa"/>
            <w:vAlign w:val="center"/>
          </w:tcPr>
          <w:p w14:paraId="09B18F36">
            <w:pPr>
              <w:spacing w:before="146" w:line="221" w:lineRule="auto"/>
              <w:jc w:val="center"/>
              <w:rPr>
                <w:rFonts w:ascii="宋体" w:hAnsi="宋体" w:eastAsia="宋体" w:cs="宋体"/>
                <w:color w:val="auto"/>
                <w:sz w:val="24"/>
                <w:szCs w:val="24"/>
              </w:rPr>
            </w:pPr>
            <w:r>
              <w:rPr>
                <w:rFonts w:ascii="宋体" w:hAnsi="宋体" w:eastAsia="宋体" w:cs="宋体"/>
                <w:color w:val="auto"/>
                <w:spacing w:val="-4"/>
                <w:sz w:val="24"/>
                <w:szCs w:val="24"/>
              </w:rPr>
              <w:t>资金来源</w:t>
            </w:r>
          </w:p>
        </w:tc>
        <w:tc>
          <w:tcPr>
            <w:tcW w:w="6271" w:type="dxa"/>
            <w:vAlign w:val="center"/>
          </w:tcPr>
          <w:p w14:paraId="147E0F4B">
            <w:pPr>
              <w:spacing w:line="360" w:lineRule="auto"/>
              <w:jc w:val="both"/>
              <w:rPr>
                <w:rFonts w:ascii="宋体" w:hAnsi="宋体" w:eastAsia="宋体"/>
                <w:color w:val="auto"/>
                <w:spacing w:val="7"/>
                <w:sz w:val="24"/>
                <w:szCs w:val="24"/>
                <w:lang w:eastAsia="zh-CN"/>
              </w:rPr>
            </w:pPr>
            <w:r>
              <w:rPr>
                <w:rFonts w:ascii="宋体" w:hAnsi="宋体" w:eastAsia="宋体"/>
                <w:color w:val="auto"/>
                <w:spacing w:val="7"/>
                <w:sz w:val="24"/>
                <w:szCs w:val="24"/>
                <w:lang w:eastAsia="zh-CN"/>
              </w:rPr>
              <w:t>财政资金</w:t>
            </w:r>
          </w:p>
        </w:tc>
      </w:tr>
      <w:tr w14:paraId="0B9A2F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6" w:hRule="atLeast"/>
          <w:jc w:val="center"/>
        </w:trPr>
        <w:tc>
          <w:tcPr>
            <w:tcW w:w="926" w:type="dxa"/>
            <w:vAlign w:val="center"/>
          </w:tcPr>
          <w:p w14:paraId="59C4FC88">
            <w:pPr>
              <w:spacing w:before="197" w:line="183" w:lineRule="auto"/>
              <w:ind w:left="129" w:leftChars="0"/>
              <w:jc w:val="center"/>
              <w:rPr>
                <w:rFonts w:hint="eastAsia" w:ascii="宋体" w:hAnsi="宋体" w:eastAsia="宋体" w:cs="宋体"/>
                <w:color w:val="auto"/>
                <w:spacing w:val="-4"/>
                <w:sz w:val="24"/>
                <w:szCs w:val="24"/>
                <w:lang w:eastAsia="zh-CN"/>
              </w:rPr>
            </w:pPr>
            <w:r>
              <w:rPr>
                <w:rFonts w:ascii="宋体" w:hAnsi="宋体" w:eastAsia="宋体" w:cs="宋体"/>
                <w:color w:val="auto"/>
                <w:spacing w:val="-4"/>
                <w:sz w:val="24"/>
                <w:szCs w:val="24"/>
              </w:rPr>
              <w:t>1.2.</w:t>
            </w:r>
            <w:r>
              <w:rPr>
                <w:rFonts w:hint="eastAsia" w:ascii="宋体" w:hAnsi="宋体" w:eastAsia="宋体" w:cs="宋体"/>
                <w:color w:val="auto"/>
                <w:spacing w:val="-4"/>
                <w:sz w:val="24"/>
                <w:szCs w:val="24"/>
                <w:lang w:val="en-US" w:eastAsia="zh-CN"/>
              </w:rPr>
              <w:t>2</w:t>
            </w:r>
          </w:p>
        </w:tc>
        <w:tc>
          <w:tcPr>
            <w:tcW w:w="1515" w:type="dxa"/>
            <w:vAlign w:val="center"/>
          </w:tcPr>
          <w:p w14:paraId="06E22D6C">
            <w:pPr>
              <w:spacing w:before="163" w:line="221" w:lineRule="auto"/>
              <w:jc w:val="center"/>
              <w:rPr>
                <w:rFonts w:ascii="宋体" w:hAnsi="宋体" w:eastAsia="宋体" w:cs="宋体"/>
                <w:color w:val="auto"/>
                <w:spacing w:val="-4"/>
                <w:sz w:val="24"/>
                <w:szCs w:val="24"/>
              </w:rPr>
            </w:pPr>
            <w:r>
              <w:rPr>
                <w:rFonts w:ascii="宋体" w:hAnsi="宋体" w:eastAsia="宋体" w:cs="宋体"/>
                <w:color w:val="auto"/>
                <w:spacing w:val="-3"/>
                <w:sz w:val="24"/>
                <w:szCs w:val="24"/>
              </w:rPr>
              <w:t>资金落实情况</w:t>
            </w:r>
          </w:p>
        </w:tc>
        <w:tc>
          <w:tcPr>
            <w:tcW w:w="6271" w:type="dxa"/>
            <w:vAlign w:val="center"/>
          </w:tcPr>
          <w:p w14:paraId="6F6CE620">
            <w:pPr>
              <w:spacing w:line="360" w:lineRule="auto"/>
              <w:jc w:val="both"/>
              <w:rPr>
                <w:rFonts w:ascii="宋体" w:hAnsi="宋体" w:eastAsia="宋体"/>
                <w:color w:val="auto"/>
                <w:spacing w:val="7"/>
                <w:sz w:val="24"/>
                <w:szCs w:val="24"/>
                <w:lang w:eastAsia="zh-CN"/>
              </w:rPr>
            </w:pPr>
            <w:r>
              <w:rPr>
                <w:rFonts w:ascii="宋体" w:hAnsi="宋体" w:eastAsia="宋体"/>
                <w:color w:val="auto"/>
                <w:spacing w:val="7"/>
                <w:sz w:val="24"/>
                <w:szCs w:val="24"/>
                <w:lang w:eastAsia="zh-CN"/>
              </w:rPr>
              <w:t>已落实</w:t>
            </w:r>
          </w:p>
        </w:tc>
      </w:tr>
      <w:tr w14:paraId="6612CA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7CCD8E0">
            <w:pPr>
              <w:spacing w:before="69" w:line="183" w:lineRule="auto"/>
              <w:jc w:val="center"/>
              <w:rPr>
                <w:rFonts w:hint="eastAsia" w:ascii="宋体" w:hAnsi="宋体" w:eastAsia="宋体" w:cs="宋体"/>
                <w:color w:val="auto"/>
                <w:sz w:val="24"/>
                <w:szCs w:val="24"/>
                <w:lang w:eastAsia="zh-CN"/>
              </w:rPr>
            </w:pPr>
            <w:r>
              <w:rPr>
                <w:rFonts w:ascii="宋体" w:hAnsi="宋体" w:eastAsia="宋体" w:cs="宋体"/>
                <w:color w:val="auto"/>
                <w:spacing w:val="-4"/>
                <w:sz w:val="24"/>
                <w:szCs w:val="24"/>
              </w:rPr>
              <w:t>1.2.</w:t>
            </w:r>
            <w:r>
              <w:rPr>
                <w:rFonts w:hint="eastAsia" w:ascii="宋体" w:hAnsi="宋体" w:eastAsia="宋体" w:cs="宋体"/>
                <w:color w:val="auto"/>
                <w:spacing w:val="-4"/>
                <w:sz w:val="24"/>
                <w:szCs w:val="24"/>
                <w:lang w:val="en-US" w:eastAsia="zh-CN"/>
              </w:rPr>
              <w:t>3</w:t>
            </w:r>
          </w:p>
        </w:tc>
        <w:tc>
          <w:tcPr>
            <w:tcW w:w="1515" w:type="dxa"/>
            <w:vAlign w:val="center"/>
          </w:tcPr>
          <w:p w14:paraId="68F075F9">
            <w:pPr>
              <w:spacing w:before="69" w:line="220" w:lineRule="auto"/>
              <w:jc w:val="center"/>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采购预算金额</w:t>
            </w:r>
            <w:r>
              <w:rPr>
                <w:rFonts w:hint="eastAsia" w:ascii="宋体" w:hAnsi="宋体" w:eastAsia="宋体" w:cs="宋体"/>
                <w:color w:val="auto"/>
                <w:spacing w:val="-1"/>
                <w:sz w:val="24"/>
                <w:szCs w:val="24"/>
                <w:lang w:eastAsia="zh-CN"/>
              </w:rPr>
              <w:t>及</w:t>
            </w:r>
            <w:r>
              <w:rPr>
                <w:rFonts w:hint="eastAsia" w:ascii="宋体" w:hAnsi="宋体" w:eastAsia="宋体"/>
                <w:color w:val="auto"/>
                <w:spacing w:val="7"/>
                <w:sz w:val="24"/>
                <w:szCs w:val="24"/>
                <w:lang w:eastAsia="zh-CN"/>
              </w:rPr>
              <w:t>最高限价</w:t>
            </w:r>
          </w:p>
        </w:tc>
        <w:tc>
          <w:tcPr>
            <w:tcW w:w="6271" w:type="dxa"/>
            <w:vAlign w:val="center"/>
          </w:tcPr>
          <w:p w14:paraId="7666FAEE">
            <w:pPr>
              <w:spacing w:line="360" w:lineRule="auto"/>
              <w:jc w:val="both"/>
              <w:rPr>
                <w:rFonts w:hint="eastAsia" w:ascii="宋体" w:hAnsi="宋体" w:eastAsia="宋体"/>
                <w:color w:val="auto"/>
                <w:spacing w:val="7"/>
                <w:sz w:val="24"/>
                <w:szCs w:val="24"/>
                <w:lang w:eastAsia="zh-CN"/>
              </w:rPr>
            </w:pPr>
            <w:r>
              <w:rPr>
                <w:rFonts w:hint="eastAsia" w:ascii="宋体" w:hAnsi="宋体" w:eastAsia="宋体"/>
                <w:color w:val="auto"/>
                <w:spacing w:val="7"/>
                <w:sz w:val="24"/>
                <w:szCs w:val="24"/>
                <w:lang w:eastAsia="zh-CN"/>
              </w:rPr>
              <w:t>预算金额：</w:t>
            </w:r>
            <w:r>
              <w:rPr>
                <w:rFonts w:hint="eastAsia" w:ascii="宋体" w:hAnsi="宋体" w:eastAsia="宋体" w:cs="宋体"/>
                <w:color w:val="auto"/>
                <w:spacing w:val="-5"/>
                <w:sz w:val="24"/>
                <w:szCs w:val="24"/>
                <w:u w:val="single"/>
                <w:lang w:val="en-US" w:eastAsia="zh-CN"/>
              </w:rPr>
              <w:t xml:space="preserve">     </w:t>
            </w:r>
            <w:r>
              <w:rPr>
                <w:rFonts w:hint="eastAsia" w:ascii="宋体" w:hAnsi="宋体" w:eastAsia="宋体"/>
                <w:color w:val="auto"/>
                <w:spacing w:val="7"/>
                <w:sz w:val="24"/>
                <w:szCs w:val="24"/>
                <w:lang w:eastAsia="zh-CN"/>
              </w:rPr>
              <w:t>元，最高限价：</w:t>
            </w:r>
            <w:r>
              <w:rPr>
                <w:rFonts w:hint="eastAsia" w:ascii="宋体" w:hAnsi="宋体" w:eastAsia="宋体" w:cs="宋体"/>
                <w:color w:val="auto"/>
                <w:spacing w:val="-5"/>
                <w:sz w:val="24"/>
                <w:szCs w:val="24"/>
                <w:u w:val="single"/>
                <w:lang w:val="en-US" w:eastAsia="zh-CN"/>
              </w:rPr>
              <w:t xml:space="preserve">     </w:t>
            </w:r>
            <w:r>
              <w:rPr>
                <w:rFonts w:hint="eastAsia" w:ascii="宋体" w:hAnsi="宋体" w:eastAsia="宋体"/>
                <w:color w:val="auto"/>
                <w:spacing w:val="7"/>
                <w:sz w:val="24"/>
                <w:szCs w:val="24"/>
                <w:lang w:eastAsia="zh-CN"/>
              </w:rPr>
              <w:t>元。</w:t>
            </w:r>
          </w:p>
          <w:p w14:paraId="6E8BA5DD">
            <w:pPr>
              <w:spacing w:line="360" w:lineRule="auto"/>
              <w:jc w:val="both"/>
              <w:rPr>
                <w:rFonts w:hint="default" w:ascii="宋体" w:hAnsi="宋体" w:eastAsia="宋体"/>
                <w:color w:val="auto"/>
                <w:spacing w:val="7"/>
                <w:sz w:val="24"/>
                <w:szCs w:val="24"/>
                <w:lang w:val="en-US" w:eastAsia="zh-CN"/>
              </w:rPr>
            </w:pPr>
            <w:r>
              <w:rPr>
                <w:rFonts w:hint="eastAsia" w:ascii="宋体" w:hAnsi="宋体" w:eastAsia="宋体"/>
                <w:color w:val="auto"/>
                <w:spacing w:val="7"/>
                <w:sz w:val="24"/>
                <w:szCs w:val="24"/>
                <w:lang w:val="en-US" w:eastAsia="zh-CN"/>
              </w:rPr>
              <w:t>平方单价限价：</w:t>
            </w:r>
            <w:r>
              <w:rPr>
                <w:rFonts w:hint="eastAsia" w:ascii="宋体" w:hAnsi="宋体" w:eastAsia="宋体" w:cs="宋体"/>
                <w:color w:val="auto"/>
                <w:spacing w:val="-5"/>
                <w:sz w:val="24"/>
                <w:szCs w:val="24"/>
                <w:u w:val="single"/>
                <w:lang w:val="en-US" w:eastAsia="zh-CN"/>
              </w:rPr>
              <w:t xml:space="preserve">     </w:t>
            </w:r>
            <w:r>
              <w:rPr>
                <w:rFonts w:hint="eastAsia" w:ascii="宋体" w:hAnsi="宋体" w:eastAsia="宋体"/>
                <w:color w:val="auto"/>
                <w:spacing w:val="7"/>
                <w:sz w:val="24"/>
                <w:szCs w:val="24"/>
                <w:lang w:eastAsia="zh-CN"/>
              </w:rPr>
              <w:t>元。</w:t>
            </w:r>
          </w:p>
          <w:p w14:paraId="0C83CEE1">
            <w:pPr>
              <w:spacing w:line="360" w:lineRule="auto"/>
              <w:jc w:val="both"/>
              <w:rPr>
                <w:color w:val="auto"/>
                <w:lang w:eastAsia="zh-CN"/>
              </w:rPr>
            </w:pPr>
            <w:r>
              <w:rPr>
                <w:rFonts w:hint="eastAsia" w:ascii="宋体" w:hAnsi="宋体" w:eastAsia="宋体" w:cs="宋体"/>
                <w:bCs/>
                <w:color w:val="auto"/>
                <w:sz w:val="24"/>
                <w:lang w:eastAsia="zh-CN"/>
              </w:rPr>
              <w:t>磋商报价不可高于</w:t>
            </w:r>
            <w:r>
              <w:rPr>
                <w:rFonts w:hint="eastAsia" w:ascii="宋体" w:hAnsi="宋体" w:eastAsia="宋体"/>
                <w:color w:val="auto"/>
                <w:spacing w:val="7"/>
                <w:sz w:val="24"/>
                <w:szCs w:val="24"/>
                <w:lang w:eastAsia="zh-CN"/>
              </w:rPr>
              <w:t>最高限价</w:t>
            </w:r>
            <w:r>
              <w:rPr>
                <w:rFonts w:hint="eastAsia" w:ascii="宋体" w:hAnsi="宋体" w:eastAsia="宋体" w:cs="宋体"/>
                <w:bCs/>
                <w:color w:val="auto"/>
                <w:sz w:val="24"/>
                <w:lang w:eastAsia="zh-CN"/>
              </w:rPr>
              <w:t>，否则按废标处理。</w:t>
            </w:r>
          </w:p>
        </w:tc>
      </w:tr>
      <w:tr w14:paraId="17199F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52123575">
            <w:pPr>
              <w:spacing w:before="197" w:line="183" w:lineRule="auto"/>
              <w:ind w:left="129"/>
              <w:jc w:val="center"/>
              <w:rPr>
                <w:rFonts w:ascii="宋体" w:hAnsi="宋体" w:eastAsia="宋体" w:cs="宋体"/>
                <w:color w:val="auto"/>
                <w:sz w:val="24"/>
                <w:szCs w:val="24"/>
              </w:rPr>
            </w:pPr>
            <w:r>
              <w:rPr>
                <w:rFonts w:ascii="宋体" w:hAnsi="宋体" w:eastAsia="宋体" w:cs="宋体"/>
                <w:color w:val="auto"/>
                <w:spacing w:val="-4"/>
                <w:sz w:val="24"/>
                <w:szCs w:val="24"/>
              </w:rPr>
              <w:t>1.2.</w:t>
            </w:r>
            <w:r>
              <w:rPr>
                <w:rFonts w:hint="eastAsia" w:ascii="宋体" w:hAnsi="宋体" w:eastAsia="宋体" w:cs="宋体"/>
                <w:color w:val="auto"/>
                <w:spacing w:val="-4"/>
                <w:sz w:val="24"/>
                <w:szCs w:val="24"/>
                <w:lang w:val="en-US" w:eastAsia="zh-CN"/>
              </w:rPr>
              <w:t>4</w:t>
            </w:r>
          </w:p>
        </w:tc>
        <w:tc>
          <w:tcPr>
            <w:tcW w:w="1515" w:type="dxa"/>
            <w:vAlign w:val="center"/>
          </w:tcPr>
          <w:p w14:paraId="3A21389D">
            <w:pPr>
              <w:spacing w:before="163" w:line="220" w:lineRule="auto"/>
              <w:jc w:val="center"/>
              <w:rPr>
                <w:rFonts w:ascii="宋体" w:hAnsi="宋体" w:eastAsia="宋体" w:cs="宋体"/>
                <w:color w:val="auto"/>
                <w:sz w:val="24"/>
                <w:szCs w:val="24"/>
              </w:rPr>
            </w:pPr>
            <w:r>
              <w:rPr>
                <w:rFonts w:ascii="宋体" w:hAnsi="宋体" w:eastAsia="宋体" w:cs="宋体"/>
                <w:color w:val="auto"/>
                <w:spacing w:val="-1"/>
                <w:sz w:val="24"/>
                <w:szCs w:val="24"/>
              </w:rPr>
              <w:t>采购项目性质</w:t>
            </w:r>
          </w:p>
        </w:tc>
        <w:tc>
          <w:tcPr>
            <w:tcW w:w="6271" w:type="dxa"/>
            <w:vAlign w:val="center"/>
          </w:tcPr>
          <w:p w14:paraId="33D3C0B1">
            <w:pPr>
              <w:spacing w:line="360" w:lineRule="auto"/>
              <w:jc w:val="both"/>
              <w:rPr>
                <w:rFonts w:ascii="宋体" w:hAnsi="宋体" w:eastAsia="宋体"/>
                <w:color w:val="auto"/>
                <w:spacing w:val="7"/>
                <w:sz w:val="24"/>
                <w:szCs w:val="24"/>
                <w:lang w:eastAsia="zh-CN"/>
              </w:rPr>
            </w:pPr>
            <w:r>
              <w:rPr>
                <w:rFonts w:ascii="宋体" w:hAnsi="宋体" w:eastAsia="宋体"/>
                <w:color w:val="auto"/>
                <w:spacing w:val="7"/>
                <w:sz w:val="24"/>
                <w:szCs w:val="24"/>
                <w:lang w:eastAsia="zh-CN"/>
              </w:rPr>
              <w:t>工程</w:t>
            </w:r>
          </w:p>
        </w:tc>
      </w:tr>
      <w:tr w14:paraId="22471A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11B9067B">
            <w:pPr>
              <w:spacing w:before="69" w:line="183" w:lineRule="auto"/>
              <w:jc w:val="center"/>
              <w:rPr>
                <w:rFonts w:ascii="宋体" w:hAnsi="宋体" w:eastAsia="宋体" w:cs="宋体"/>
                <w:color w:val="auto"/>
                <w:sz w:val="24"/>
                <w:szCs w:val="24"/>
              </w:rPr>
            </w:pPr>
            <w:r>
              <w:rPr>
                <w:rFonts w:ascii="宋体" w:hAnsi="宋体" w:eastAsia="宋体" w:cs="宋体"/>
                <w:color w:val="auto"/>
                <w:spacing w:val="-4"/>
                <w:sz w:val="24"/>
                <w:szCs w:val="24"/>
              </w:rPr>
              <w:t>1.3.1</w:t>
            </w:r>
          </w:p>
        </w:tc>
        <w:tc>
          <w:tcPr>
            <w:tcW w:w="1515" w:type="dxa"/>
            <w:vAlign w:val="center"/>
          </w:tcPr>
          <w:p w14:paraId="304F7ABB">
            <w:pPr>
              <w:spacing w:before="68" w:line="22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改造内容</w:t>
            </w:r>
          </w:p>
        </w:tc>
        <w:tc>
          <w:tcPr>
            <w:tcW w:w="6271" w:type="dxa"/>
            <w:vAlign w:val="center"/>
          </w:tcPr>
          <w:p w14:paraId="4693B0C1">
            <w:pPr>
              <w:spacing w:line="360" w:lineRule="auto"/>
              <w:rPr>
                <w:rFonts w:ascii="宋体" w:hAnsi="宋体" w:eastAsia="宋体"/>
                <w:color w:val="auto"/>
                <w:spacing w:val="7"/>
                <w:sz w:val="24"/>
                <w:szCs w:val="24"/>
                <w:highlight w:val="none"/>
                <w:lang w:eastAsia="zh-CN"/>
              </w:rPr>
            </w:pPr>
            <w:r>
              <w:rPr>
                <w:rFonts w:hint="eastAsia" w:asciiTheme="minorEastAsia" w:hAnsiTheme="minorEastAsia"/>
                <w:color w:val="auto"/>
                <w:kern w:val="2"/>
                <w:sz w:val="24"/>
                <w:szCs w:val="24"/>
                <w:u w:val="single"/>
                <w:lang w:val="en-US" w:eastAsia="zh-CN"/>
              </w:rPr>
              <w:t xml:space="preserve">        </w:t>
            </w:r>
            <w:r>
              <w:rPr>
                <w:rFonts w:hint="eastAsia" w:asciiTheme="minorEastAsia" w:hAnsiTheme="minorEastAsia"/>
                <w:color w:val="auto"/>
                <w:kern w:val="2"/>
                <w:sz w:val="24"/>
                <w:szCs w:val="24"/>
                <w:lang w:val="en-US" w:eastAsia="zh-CN"/>
              </w:rPr>
              <w:t>市</w:t>
            </w:r>
            <w:r>
              <w:rPr>
                <w:rFonts w:hint="eastAsia" w:asciiTheme="minorEastAsia" w:hAnsiTheme="minorEastAsia"/>
                <w:color w:val="auto"/>
                <w:kern w:val="2"/>
                <w:sz w:val="24"/>
                <w:szCs w:val="24"/>
                <w:u w:val="single"/>
                <w:lang w:val="en-US" w:eastAsia="zh-CN"/>
              </w:rPr>
              <w:t>（改造实体店数）</w:t>
            </w:r>
            <w:r>
              <w:rPr>
                <w:rFonts w:hint="eastAsia" w:asciiTheme="minorEastAsia" w:hAnsiTheme="minorEastAsia"/>
                <w:color w:val="auto"/>
                <w:kern w:val="2"/>
                <w:sz w:val="24"/>
                <w:szCs w:val="24"/>
                <w:lang w:val="en-US" w:eastAsia="zh-CN"/>
              </w:rPr>
              <w:t>家</w:t>
            </w:r>
            <w:r>
              <w:rPr>
                <w:rFonts w:hint="eastAsia" w:ascii="宋体" w:hAnsi="宋体" w:eastAsia="宋体" w:cs="宋体"/>
                <w:color w:val="auto"/>
                <w:spacing w:val="-5"/>
                <w:sz w:val="24"/>
                <w:szCs w:val="24"/>
                <w:u w:val="none"/>
                <w:lang w:val="en-US" w:eastAsia="zh-CN"/>
              </w:rPr>
              <w:t>体育彩票专营实体店，</w:t>
            </w:r>
            <w:r>
              <w:rPr>
                <w:rFonts w:hint="eastAsia" w:ascii="宋体" w:hAnsi="宋体" w:eastAsia="宋体" w:cs="宋体"/>
                <w:color w:val="auto"/>
                <w:spacing w:val="-5"/>
                <w:sz w:val="24"/>
                <w:szCs w:val="24"/>
                <w:u w:val="single"/>
                <w:lang w:val="en-US" w:eastAsia="zh-CN"/>
              </w:rPr>
              <w:t>（总平方数）</w:t>
            </w:r>
            <w:r>
              <w:rPr>
                <w:rFonts w:hint="eastAsia" w:ascii="宋体" w:hAnsi="宋体" w:eastAsia="宋体" w:cs="宋体"/>
                <w:color w:val="auto"/>
                <w:spacing w:val="-5"/>
                <w:sz w:val="24"/>
                <w:szCs w:val="24"/>
                <w:u w:val="none"/>
                <w:lang w:val="en-US" w:eastAsia="zh-CN"/>
              </w:rPr>
              <w:t>平方米的店招制作与安装</w:t>
            </w:r>
            <w:r>
              <w:rPr>
                <w:rFonts w:hint="eastAsia" w:asciiTheme="minorEastAsia" w:hAnsiTheme="minorEastAsia"/>
                <w:color w:val="auto"/>
                <w:kern w:val="2"/>
                <w:sz w:val="24"/>
                <w:szCs w:val="24"/>
                <w:lang w:val="en-US" w:eastAsia="zh-CN"/>
              </w:rPr>
              <w:t>，</w:t>
            </w:r>
            <w:r>
              <w:rPr>
                <w:rFonts w:hint="eastAsia" w:asciiTheme="minorEastAsia" w:hAnsiTheme="minorEastAsia"/>
                <w:color w:val="auto"/>
                <w:kern w:val="2"/>
                <w:sz w:val="24"/>
                <w:szCs w:val="24"/>
                <w:lang w:eastAsia="zh-CN"/>
              </w:rPr>
              <w:t>包含磋商文件、图纸、清单、答疑澄清及补充文件所包括的全部内容</w:t>
            </w:r>
          </w:p>
        </w:tc>
      </w:tr>
      <w:tr w14:paraId="7C4AA3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0FE1DC54">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1.3.2</w:t>
            </w:r>
          </w:p>
        </w:tc>
        <w:tc>
          <w:tcPr>
            <w:tcW w:w="1515" w:type="dxa"/>
            <w:vAlign w:val="center"/>
          </w:tcPr>
          <w:p w14:paraId="5D7A9858">
            <w:pPr>
              <w:spacing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计划工期</w:t>
            </w:r>
          </w:p>
        </w:tc>
        <w:tc>
          <w:tcPr>
            <w:tcW w:w="6271" w:type="dxa"/>
            <w:vAlign w:val="center"/>
          </w:tcPr>
          <w:p w14:paraId="4E18743C">
            <w:pPr>
              <w:spacing w:line="360" w:lineRule="auto"/>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u w:val="single"/>
                <w:lang w:val="en-US" w:eastAsia="zh-CN"/>
              </w:rPr>
              <w:t xml:space="preserve">     </w:t>
            </w:r>
            <w:r>
              <w:rPr>
                <w:rFonts w:hint="eastAsia" w:ascii="宋体" w:hAnsi="宋体" w:eastAsia="宋体" w:cs="宋体"/>
                <w:color w:val="auto"/>
                <w:spacing w:val="-5"/>
                <w:sz w:val="24"/>
                <w:szCs w:val="24"/>
                <w:lang w:eastAsia="zh-CN"/>
              </w:rPr>
              <w:t>日历天</w:t>
            </w:r>
          </w:p>
        </w:tc>
      </w:tr>
      <w:tr w14:paraId="2E5077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7842D04">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1.3.3</w:t>
            </w:r>
          </w:p>
        </w:tc>
        <w:tc>
          <w:tcPr>
            <w:tcW w:w="1515" w:type="dxa"/>
            <w:vAlign w:val="center"/>
          </w:tcPr>
          <w:p w14:paraId="0B5E51EF">
            <w:pPr>
              <w:spacing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质量标准</w:t>
            </w:r>
          </w:p>
        </w:tc>
        <w:tc>
          <w:tcPr>
            <w:tcW w:w="6271" w:type="dxa"/>
            <w:vAlign w:val="center"/>
          </w:tcPr>
          <w:p w14:paraId="3DF6B995">
            <w:pPr>
              <w:spacing w:line="360" w:lineRule="auto"/>
              <w:rPr>
                <w:rFonts w:ascii="宋体" w:hAnsi="宋体" w:eastAsia="宋体" w:cs="宋体"/>
                <w:color w:val="auto"/>
                <w:spacing w:val="-5"/>
                <w:sz w:val="24"/>
                <w:szCs w:val="24"/>
                <w:lang w:eastAsia="zh-CN"/>
              </w:rPr>
            </w:pPr>
            <w:r>
              <w:rPr>
                <w:rFonts w:hint="eastAsia" w:asciiTheme="minorEastAsia" w:hAnsiTheme="minorEastAsia"/>
                <w:color w:val="auto"/>
                <w:kern w:val="2"/>
                <w:sz w:val="24"/>
                <w:szCs w:val="24"/>
                <w:lang w:eastAsia="zh-CN"/>
              </w:rPr>
              <w:t>符合国家、省、市现行相关规范标准，质量达到合格要求</w:t>
            </w:r>
          </w:p>
        </w:tc>
      </w:tr>
      <w:tr w14:paraId="5A52C6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1AAA3666">
            <w:pPr>
              <w:spacing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lang w:eastAsia="zh-CN"/>
              </w:rPr>
              <w:t>1.3.4</w:t>
            </w:r>
          </w:p>
        </w:tc>
        <w:tc>
          <w:tcPr>
            <w:tcW w:w="1515" w:type="dxa"/>
            <w:vAlign w:val="center"/>
          </w:tcPr>
          <w:p w14:paraId="654941E9">
            <w:pPr>
              <w:spacing w:line="360" w:lineRule="auto"/>
              <w:jc w:val="center"/>
              <w:rPr>
                <w:rFonts w:hint="eastAsia" w:ascii="宋体" w:hAnsi="宋体" w:eastAsia="宋体" w:cs="宋体"/>
                <w:color w:val="auto"/>
                <w:spacing w:val="-5"/>
                <w:sz w:val="24"/>
                <w:szCs w:val="24"/>
              </w:rPr>
            </w:pPr>
            <w:r>
              <w:rPr>
                <w:rFonts w:hint="eastAsia" w:asciiTheme="minorEastAsia" w:hAnsiTheme="minorEastAsia"/>
                <w:color w:val="auto"/>
                <w:kern w:val="2"/>
                <w:sz w:val="24"/>
                <w:szCs w:val="24"/>
                <w:lang w:eastAsia="zh-CN"/>
              </w:rPr>
              <w:t>保修期</w:t>
            </w:r>
          </w:p>
        </w:tc>
        <w:tc>
          <w:tcPr>
            <w:tcW w:w="6271" w:type="dxa"/>
            <w:vAlign w:val="center"/>
          </w:tcPr>
          <w:p w14:paraId="50DE3F09">
            <w:pPr>
              <w:spacing w:line="360" w:lineRule="auto"/>
              <w:rPr>
                <w:rFonts w:hint="eastAsia" w:asciiTheme="minorEastAsia" w:hAnsiTheme="minorEastAsia"/>
                <w:color w:val="auto"/>
                <w:kern w:val="2"/>
                <w:sz w:val="24"/>
                <w:szCs w:val="24"/>
                <w:lang w:eastAsia="zh-CN"/>
              </w:rPr>
            </w:pPr>
            <w:r>
              <w:rPr>
                <w:rFonts w:hint="eastAsia" w:asciiTheme="minorEastAsia" w:hAnsiTheme="minorEastAsia"/>
                <w:color w:val="auto"/>
                <w:kern w:val="2"/>
                <w:sz w:val="24"/>
                <w:szCs w:val="24"/>
                <w:lang w:eastAsia="zh-CN"/>
              </w:rPr>
              <w:t>二年（自工程竣工验收合格之日起计算）。</w:t>
            </w:r>
          </w:p>
        </w:tc>
      </w:tr>
      <w:tr w14:paraId="5B3E25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3BFA5068">
            <w:pPr>
              <w:spacing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lang w:eastAsia="zh-CN"/>
              </w:rPr>
              <w:t>1.3.5</w:t>
            </w:r>
          </w:p>
        </w:tc>
        <w:tc>
          <w:tcPr>
            <w:tcW w:w="1515" w:type="dxa"/>
            <w:vAlign w:val="center"/>
          </w:tcPr>
          <w:p w14:paraId="57BAC4B4">
            <w:pPr>
              <w:spacing w:line="360" w:lineRule="auto"/>
              <w:jc w:val="center"/>
              <w:rPr>
                <w:rFonts w:hint="eastAsia" w:ascii="宋体" w:hAnsi="宋体" w:eastAsia="宋体" w:cs="宋体"/>
                <w:color w:val="auto"/>
                <w:spacing w:val="-5"/>
                <w:sz w:val="24"/>
                <w:szCs w:val="24"/>
              </w:rPr>
            </w:pPr>
            <w:r>
              <w:rPr>
                <w:rFonts w:hint="eastAsia" w:asciiTheme="minorEastAsia" w:hAnsiTheme="minorEastAsia"/>
                <w:color w:val="auto"/>
                <w:kern w:val="2"/>
                <w:sz w:val="24"/>
                <w:szCs w:val="24"/>
                <w:lang w:eastAsia="zh-CN"/>
              </w:rPr>
              <w:t>工程施工要求</w:t>
            </w:r>
          </w:p>
        </w:tc>
        <w:tc>
          <w:tcPr>
            <w:tcW w:w="6271" w:type="dxa"/>
            <w:vAlign w:val="center"/>
          </w:tcPr>
          <w:p w14:paraId="1C7C0D31">
            <w:pPr>
              <w:spacing w:line="360" w:lineRule="auto"/>
              <w:rPr>
                <w:rFonts w:hint="eastAsia" w:asciiTheme="minorEastAsia" w:hAnsiTheme="minorEastAsia"/>
                <w:color w:val="auto"/>
                <w:kern w:val="2"/>
                <w:sz w:val="24"/>
                <w:szCs w:val="24"/>
                <w:highlight w:val="none"/>
                <w:lang w:eastAsia="zh-CN"/>
              </w:rPr>
            </w:pPr>
            <w:r>
              <w:rPr>
                <w:rFonts w:hint="eastAsia" w:asciiTheme="minorEastAsia" w:hAnsiTheme="minorEastAsia"/>
                <w:color w:val="auto"/>
                <w:kern w:val="2"/>
                <w:sz w:val="24"/>
                <w:szCs w:val="24"/>
                <w:highlight w:val="none"/>
                <w:lang w:eastAsia="zh-CN"/>
              </w:rPr>
              <w:t>按照项目要求及店面实际情况进行施工，在施工过程中施工单位能够达到边营业边施工（上午9点至晚上22点为营业时间，营业时间可以施工， 需做安全保护、并不影响正常营业），并负责在施工过程中与当地监督管理部门的协调工作，施工完成后应恢复实体店墙面专区。</w:t>
            </w:r>
          </w:p>
        </w:tc>
      </w:tr>
      <w:tr w14:paraId="0286DA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1BA24E41">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1.4.1</w:t>
            </w:r>
          </w:p>
        </w:tc>
        <w:tc>
          <w:tcPr>
            <w:tcW w:w="1515" w:type="dxa"/>
            <w:vAlign w:val="center"/>
          </w:tcPr>
          <w:p w14:paraId="2BC64E9A">
            <w:pPr>
              <w:spacing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供应商资质条件</w:t>
            </w:r>
          </w:p>
        </w:tc>
        <w:tc>
          <w:tcPr>
            <w:tcW w:w="6271" w:type="dxa"/>
            <w:vAlign w:val="center"/>
          </w:tcPr>
          <w:p w14:paraId="26DC25EA">
            <w:pPr>
              <w:spacing w:line="360" w:lineRule="auto"/>
              <w:ind w:right="104"/>
              <w:jc w:val="both"/>
              <w:rPr>
                <w:rFonts w:hint="eastAsia" w:ascii="宋体" w:hAnsi="宋体" w:eastAsia="宋体" w:cs="宋体"/>
                <w:color w:val="auto"/>
                <w:spacing w:val="-5"/>
                <w:sz w:val="24"/>
                <w:szCs w:val="24"/>
                <w:lang w:val="zh-CN" w:eastAsia="zh-CN"/>
              </w:rPr>
            </w:pPr>
            <w:r>
              <w:rPr>
                <w:rFonts w:hint="eastAsia" w:ascii="宋体" w:hAnsi="宋体" w:eastAsia="宋体" w:cs="宋体"/>
                <w:color w:val="auto"/>
                <w:spacing w:val="-5"/>
                <w:sz w:val="24"/>
                <w:szCs w:val="24"/>
                <w:lang w:val="en-US" w:eastAsia="zh-CN"/>
              </w:rPr>
              <w:t>1、</w:t>
            </w:r>
            <w:r>
              <w:rPr>
                <w:rFonts w:hint="eastAsia" w:ascii="宋体" w:hAnsi="宋体" w:eastAsia="宋体" w:cs="宋体"/>
                <w:color w:val="auto"/>
                <w:spacing w:val="-5"/>
                <w:sz w:val="24"/>
                <w:szCs w:val="24"/>
                <w:lang w:val="zh-CN" w:eastAsia="zh-CN"/>
              </w:rPr>
              <w:t>具有独立承担民事责任的能力；（提供法人或者其他组织的营业执照等证明文件）；</w:t>
            </w:r>
          </w:p>
          <w:p w14:paraId="12D7669E">
            <w:pPr>
              <w:spacing w:line="360" w:lineRule="auto"/>
              <w:ind w:right="104"/>
              <w:jc w:val="both"/>
              <w:rPr>
                <w:rFonts w:hint="eastAsia" w:ascii="宋体" w:hAnsi="宋体" w:eastAsia="宋体" w:cs="宋体"/>
                <w:color w:val="auto"/>
                <w:spacing w:val="-5"/>
                <w:sz w:val="24"/>
                <w:szCs w:val="24"/>
                <w:lang w:val="zh-CN" w:eastAsia="zh-CN"/>
              </w:rPr>
            </w:pPr>
            <w:r>
              <w:rPr>
                <w:rFonts w:hint="eastAsia" w:ascii="宋体" w:hAnsi="宋体" w:eastAsia="宋体" w:cs="宋体"/>
                <w:color w:val="auto"/>
                <w:spacing w:val="-5"/>
                <w:sz w:val="24"/>
                <w:szCs w:val="24"/>
                <w:lang w:val="en-US" w:eastAsia="zh-CN"/>
              </w:rPr>
              <w:t>2、</w:t>
            </w:r>
            <w:r>
              <w:rPr>
                <w:rFonts w:hint="eastAsia" w:ascii="宋体" w:hAnsi="宋体" w:eastAsia="宋体" w:cs="宋体"/>
                <w:color w:val="auto"/>
                <w:spacing w:val="-5"/>
                <w:sz w:val="24"/>
                <w:szCs w:val="24"/>
                <w:lang w:val="zh-CN" w:eastAsia="zh-CN"/>
              </w:rPr>
              <w:t>具有良好的商业信誉和健全的财务会计制度（提供2023年度经审计的财务审计报告或基本户银行开具的资信证明）；</w:t>
            </w:r>
          </w:p>
          <w:p w14:paraId="2FC3815D">
            <w:pPr>
              <w:spacing w:line="360" w:lineRule="auto"/>
              <w:ind w:right="104"/>
              <w:jc w:val="both"/>
              <w:rPr>
                <w:rFonts w:hint="eastAsia" w:ascii="宋体" w:hAnsi="宋体" w:eastAsia="宋体" w:cs="宋体"/>
                <w:color w:val="auto"/>
                <w:spacing w:val="-5"/>
                <w:sz w:val="24"/>
                <w:szCs w:val="24"/>
                <w:lang w:val="zh-CN" w:eastAsia="zh-CN"/>
              </w:rPr>
            </w:pPr>
            <w:r>
              <w:rPr>
                <w:rFonts w:hint="eastAsia" w:ascii="宋体" w:hAnsi="宋体" w:eastAsia="宋体" w:cs="宋体"/>
                <w:color w:val="auto"/>
                <w:spacing w:val="-5"/>
                <w:sz w:val="24"/>
                <w:szCs w:val="24"/>
                <w:lang w:val="en-US" w:eastAsia="zh-CN"/>
              </w:rPr>
              <w:t>3、</w:t>
            </w:r>
            <w:r>
              <w:rPr>
                <w:rFonts w:hint="eastAsia" w:ascii="宋体" w:hAnsi="宋体" w:eastAsia="宋体" w:cs="宋体"/>
                <w:color w:val="auto"/>
                <w:spacing w:val="-5"/>
                <w:sz w:val="24"/>
                <w:szCs w:val="24"/>
                <w:lang w:val="zh-CN" w:eastAsia="zh-CN"/>
              </w:rPr>
              <w:t>具有履行合同所必需的设备和专业技术能力（提供承诺书，格式自拟）；</w:t>
            </w:r>
          </w:p>
          <w:p w14:paraId="123C9FED">
            <w:pPr>
              <w:spacing w:line="360" w:lineRule="auto"/>
              <w:ind w:right="104"/>
              <w:jc w:val="both"/>
              <w:rPr>
                <w:rFonts w:hint="eastAsia" w:ascii="宋体" w:hAnsi="宋体" w:eastAsia="宋体" w:cs="宋体"/>
                <w:color w:val="auto"/>
                <w:spacing w:val="-5"/>
                <w:sz w:val="24"/>
                <w:szCs w:val="24"/>
                <w:lang w:val="zh-CN" w:eastAsia="zh-CN"/>
              </w:rPr>
            </w:pPr>
            <w:r>
              <w:rPr>
                <w:rFonts w:hint="eastAsia" w:ascii="宋体" w:hAnsi="宋体" w:eastAsia="宋体" w:cs="宋体"/>
                <w:color w:val="auto"/>
                <w:spacing w:val="-5"/>
                <w:sz w:val="24"/>
                <w:szCs w:val="24"/>
                <w:lang w:val="en-US" w:eastAsia="zh-CN"/>
              </w:rPr>
              <w:t>4、</w:t>
            </w:r>
            <w:r>
              <w:rPr>
                <w:rFonts w:hint="eastAsia" w:ascii="宋体" w:hAnsi="宋体" w:eastAsia="宋体" w:cs="宋体"/>
                <w:color w:val="auto"/>
                <w:spacing w:val="-5"/>
                <w:sz w:val="24"/>
                <w:szCs w:val="24"/>
                <w:lang w:val="zh-CN" w:eastAsia="zh-CN"/>
              </w:rPr>
              <w:t>有依法缴纳税收和社会保障资金的良好记录（提供202</w:t>
            </w:r>
            <w:r>
              <w:rPr>
                <w:rFonts w:hint="eastAsia" w:ascii="宋体" w:hAnsi="宋体" w:eastAsia="宋体" w:cs="宋体"/>
                <w:color w:val="auto"/>
                <w:spacing w:val="-5"/>
                <w:sz w:val="24"/>
                <w:szCs w:val="24"/>
                <w:lang w:val="en-US" w:eastAsia="zh-CN"/>
              </w:rPr>
              <w:t>4</w:t>
            </w:r>
            <w:r>
              <w:rPr>
                <w:rFonts w:hint="eastAsia" w:ascii="宋体" w:hAnsi="宋体" w:eastAsia="宋体" w:cs="宋体"/>
                <w:color w:val="auto"/>
                <w:spacing w:val="-5"/>
                <w:sz w:val="24"/>
                <w:szCs w:val="24"/>
                <w:lang w:val="zh-CN" w:eastAsia="zh-CN"/>
              </w:rPr>
              <w:t>年</w:t>
            </w:r>
            <w:r>
              <w:rPr>
                <w:rFonts w:hint="eastAsia" w:ascii="宋体" w:hAnsi="宋体" w:eastAsia="宋体" w:cs="宋体"/>
                <w:color w:val="auto"/>
                <w:spacing w:val="-5"/>
                <w:sz w:val="24"/>
                <w:szCs w:val="24"/>
                <w:lang w:val="en-US" w:eastAsia="zh-CN"/>
              </w:rPr>
              <w:t>1</w:t>
            </w:r>
            <w:r>
              <w:rPr>
                <w:rFonts w:hint="eastAsia" w:ascii="宋体" w:hAnsi="宋体" w:eastAsia="宋体" w:cs="宋体"/>
                <w:color w:val="auto"/>
                <w:spacing w:val="-5"/>
                <w:sz w:val="24"/>
                <w:szCs w:val="24"/>
                <w:lang w:val="zh-CN" w:eastAsia="zh-CN"/>
              </w:rPr>
              <w:t>月1日以来任意1个月的依法纳税和社会保障资金缴纳证明（银行扣款回单或税局开具的凭据或缴纳清单等，依法免税或不需要缴纳社会保障资金企业，应提供相关证明文件））；</w:t>
            </w:r>
          </w:p>
          <w:p w14:paraId="70C46065">
            <w:pPr>
              <w:spacing w:line="360" w:lineRule="auto"/>
              <w:ind w:right="104"/>
              <w:jc w:val="both"/>
              <w:rPr>
                <w:rFonts w:hint="eastAsia" w:ascii="宋体" w:hAnsi="宋体" w:eastAsia="宋体" w:cs="宋体"/>
                <w:color w:val="auto"/>
                <w:spacing w:val="-5"/>
                <w:sz w:val="24"/>
                <w:szCs w:val="24"/>
                <w:lang w:val="zh-CN" w:eastAsia="zh-CN"/>
              </w:rPr>
            </w:pPr>
            <w:r>
              <w:rPr>
                <w:rFonts w:hint="eastAsia" w:ascii="宋体" w:hAnsi="宋体" w:eastAsia="宋体" w:cs="宋体"/>
                <w:color w:val="auto"/>
                <w:spacing w:val="-5"/>
                <w:sz w:val="24"/>
                <w:szCs w:val="24"/>
                <w:lang w:val="en-US" w:eastAsia="zh-CN"/>
              </w:rPr>
              <w:t>5、</w:t>
            </w:r>
            <w:r>
              <w:rPr>
                <w:rFonts w:hint="eastAsia" w:ascii="宋体" w:hAnsi="宋体" w:eastAsia="宋体" w:cs="宋体"/>
                <w:color w:val="auto"/>
                <w:spacing w:val="-5"/>
                <w:sz w:val="24"/>
                <w:szCs w:val="24"/>
                <w:lang w:val="zh-CN" w:eastAsia="zh-CN"/>
              </w:rPr>
              <w:t>参加政府采购活动前三年内，在经营活动中没有重大违法记录（提供承诺书，格式自拟）；</w:t>
            </w:r>
          </w:p>
          <w:p w14:paraId="70412D25">
            <w:pPr>
              <w:spacing w:line="360" w:lineRule="auto"/>
              <w:ind w:right="104"/>
              <w:jc w:val="both"/>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val="en-US" w:eastAsia="zh-CN"/>
              </w:rPr>
              <w:t>6、</w:t>
            </w:r>
            <w:r>
              <w:rPr>
                <w:rFonts w:hint="eastAsia" w:ascii="宋体" w:hAnsi="宋体" w:eastAsia="宋体" w:cs="宋体"/>
                <w:color w:val="auto"/>
                <w:spacing w:val="-5"/>
                <w:sz w:val="24"/>
                <w:szCs w:val="24"/>
                <w:lang w:eastAsia="zh-CN"/>
              </w:rPr>
              <w:t>信誉要求：</w:t>
            </w:r>
            <w:r>
              <w:rPr>
                <w:rFonts w:hint="eastAsia" w:ascii="宋体" w:hAnsi="宋体" w:eastAsia="宋体" w:cs="宋体"/>
                <w:color w:val="auto"/>
                <w:spacing w:val="-5"/>
                <w:sz w:val="24"/>
                <w:szCs w:val="24"/>
                <w:lang w:val="zh-CN" w:eastAsia="zh-CN"/>
              </w:rPr>
              <w:t>对列入失信被执行人、重大税收违法案件当事人名单（重大税收违法失信主体）、政府采购严重违法失信行为记录名单的投标人，拒绝参与本项目政府采购活动</w:t>
            </w:r>
            <w:r>
              <w:rPr>
                <w:rFonts w:hint="eastAsia" w:ascii="宋体" w:hAnsi="宋体" w:eastAsia="宋体" w:cs="宋体"/>
                <w:color w:val="auto"/>
                <w:spacing w:val="-5"/>
                <w:sz w:val="24"/>
                <w:szCs w:val="24"/>
                <w:lang w:eastAsia="zh-CN"/>
              </w:rPr>
              <w:t>。投标人应将查询截图附到响应文件中，开标时采购人根据需要自行核查，如核查情况与响应文件不一致时，以采购人现场核查结果为准【查询渠道：“信用中国”网站（www.creditchina.gov.cn）和中国政府采购网（</w:t>
            </w:r>
            <w:r>
              <w:rPr>
                <w:rFonts w:hint="eastAsia" w:ascii="宋体" w:hAnsi="宋体" w:eastAsia="宋体" w:cs="宋体"/>
                <w:color w:val="auto"/>
                <w:spacing w:val="-5"/>
                <w:sz w:val="24"/>
                <w:szCs w:val="24"/>
                <w:lang w:eastAsia="zh-CN"/>
              </w:rPr>
              <w:fldChar w:fldCharType="begin"/>
            </w:r>
            <w:r>
              <w:rPr>
                <w:rFonts w:hint="eastAsia" w:ascii="宋体" w:hAnsi="宋体" w:eastAsia="宋体" w:cs="宋体"/>
                <w:color w:val="auto"/>
                <w:spacing w:val="-5"/>
                <w:sz w:val="24"/>
                <w:szCs w:val="24"/>
                <w:lang w:eastAsia="zh-CN"/>
              </w:rPr>
              <w:instrText xml:space="preserve"> HYPERLINK "http://www.ccgp.gov.cn）】"</w:instrText>
            </w:r>
            <w:r>
              <w:rPr>
                <w:rFonts w:hint="eastAsia" w:ascii="宋体" w:hAnsi="宋体" w:eastAsia="宋体" w:cs="宋体"/>
                <w:color w:val="auto"/>
                <w:spacing w:val="-5"/>
                <w:sz w:val="24"/>
                <w:szCs w:val="24"/>
                <w:lang w:eastAsia="zh-CN"/>
              </w:rPr>
              <w:fldChar w:fldCharType="separate"/>
            </w:r>
            <w:r>
              <w:rPr>
                <w:rFonts w:hint="eastAsia" w:ascii="宋体" w:hAnsi="宋体" w:eastAsia="宋体" w:cs="宋体"/>
                <w:color w:val="auto"/>
                <w:spacing w:val="-5"/>
                <w:sz w:val="24"/>
                <w:szCs w:val="24"/>
                <w:lang w:eastAsia="zh-CN"/>
              </w:rPr>
              <w:t>www.ccgp.gov.cn）】</w:t>
            </w:r>
            <w:r>
              <w:rPr>
                <w:rFonts w:hint="eastAsia" w:ascii="宋体" w:hAnsi="宋体" w:eastAsia="宋体" w:cs="宋体"/>
                <w:color w:val="auto"/>
                <w:spacing w:val="-5"/>
                <w:sz w:val="24"/>
                <w:szCs w:val="24"/>
                <w:lang w:eastAsia="zh-CN"/>
              </w:rPr>
              <w:fldChar w:fldCharType="end"/>
            </w:r>
            <w:r>
              <w:rPr>
                <w:rFonts w:hint="eastAsia" w:ascii="宋体" w:hAnsi="宋体" w:eastAsia="宋体" w:cs="宋体"/>
                <w:color w:val="auto"/>
                <w:spacing w:val="-5"/>
                <w:sz w:val="24"/>
                <w:szCs w:val="24"/>
                <w:lang w:eastAsia="zh-CN"/>
              </w:rPr>
              <w:t>；</w:t>
            </w:r>
          </w:p>
          <w:p w14:paraId="1F2D06B4">
            <w:pPr>
              <w:spacing w:line="360" w:lineRule="auto"/>
              <w:ind w:right="104"/>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val="en-US" w:eastAsia="zh-CN"/>
              </w:rPr>
              <w:t>7、</w:t>
            </w:r>
            <w:r>
              <w:rPr>
                <w:rFonts w:hint="eastAsia" w:ascii="宋体" w:hAnsi="宋体" w:eastAsia="宋体" w:cs="宋体"/>
                <w:color w:val="auto"/>
                <w:spacing w:val="-5"/>
                <w:sz w:val="24"/>
                <w:szCs w:val="24"/>
                <w:lang w:eastAsia="zh-CN"/>
              </w:rPr>
              <w:t>企业资质要求：供应商须具有建设行政主管部门颁发的建筑工程施工总承包叁级或装饰装修工程专业承包贰级及以上资质，具有有效的安全生产许可证；</w:t>
            </w:r>
          </w:p>
          <w:p w14:paraId="10CC9883">
            <w:pPr>
              <w:spacing w:line="360" w:lineRule="auto"/>
              <w:ind w:right="104"/>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val="en-US" w:eastAsia="zh-CN"/>
              </w:rPr>
              <w:t>8、</w:t>
            </w:r>
            <w:r>
              <w:rPr>
                <w:rFonts w:hint="eastAsia" w:ascii="宋体" w:hAnsi="宋体" w:eastAsia="宋体" w:cs="宋体"/>
                <w:color w:val="auto"/>
                <w:spacing w:val="-5"/>
                <w:sz w:val="24"/>
                <w:szCs w:val="24"/>
                <w:lang w:eastAsia="zh-CN"/>
              </w:rPr>
              <w:t>拟派项目经理要求：供应商拟派项目经理须具有建设部门颁发的建筑工程专业贰级（含）以上注册建造师资格（不含临时建造师）,具备有效的安全生产考核合格证书，且未担任其他在施建设工程项目的项目经理，为供应商正式在职人员（具有劳动合同和依法缴纳社保的相关材料）；</w:t>
            </w:r>
          </w:p>
          <w:p w14:paraId="22786458">
            <w:pPr>
              <w:spacing w:line="360" w:lineRule="auto"/>
              <w:ind w:right="104"/>
              <w:jc w:val="both"/>
              <w:rPr>
                <w:rFonts w:hint="eastAsia" w:ascii="宋体" w:hAnsi="宋体" w:eastAsia="宋体" w:cs="宋体"/>
                <w:color w:val="auto"/>
                <w:spacing w:val="-5"/>
                <w:sz w:val="24"/>
                <w:szCs w:val="24"/>
                <w:lang w:val="en-US" w:eastAsia="zh-CN"/>
              </w:rPr>
            </w:pPr>
            <w:r>
              <w:rPr>
                <w:rFonts w:hint="eastAsia" w:ascii="宋体" w:hAnsi="宋体" w:eastAsia="宋体" w:cs="宋体"/>
                <w:color w:val="auto"/>
                <w:spacing w:val="-5"/>
                <w:sz w:val="24"/>
                <w:szCs w:val="24"/>
                <w:lang w:val="en-US" w:eastAsia="zh-CN"/>
              </w:rPr>
              <w:t>9、</w:t>
            </w:r>
            <w:r>
              <w:rPr>
                <w:rFonts w:hint="eastAsia" w:ascii="宋体" w:hAnsi="宋体" w:eastAsia="宋体" w:cs="宋体"/>
                <w:color w:val="auto"/>
                <w:spacing w:val="-5"/>
                <w:sz w:val="24"/>
                <w:szCs w:val="24"/>
                <w:lang w:eastAsia="zh-CN"/>
              </w:rPr>
              <w:t>其他要求：</w:t>
            </w:r>
            <w:r>
              <w:rPr>
                <w:rFonts w:hint="eastAsia" w:ascii="宋体" w:hAnsi="宋体" w:eastAsia="宋体" w:cs="宋体"/>
                <w:color w:val="auto"/>
                <w:spacing w:val="-5"/>
                <w:sz w:val="24"/>
                <w:szCs w:val="24"/>
                <w:lang w:val="en-US" w:eastAsia="zh-CN"/>
              </w:rPr>
              <w:t>单位负责人为同一人或者存在直接控股、管理关系的不同投标人，不得参加同一合同项下的政府采购活动，提供声明函；</w:t>
            </w:r>
          </w:p>
          <w:p w14:paraId="7083D8C2">
            <w:pPr>
              <w:spacing w:line="360" w:lineRule="auto"/>
              <w:ind w:right="104"/>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val="en-US" w:eastAsia="zh-CN"/>
              </w:rPr>
              <w:t>10、本次招标不接受联合体投标。</w:t>
            </w:r>
          </w:p>
        </w:tc>
      </w:tr>
      <w:tr w14:paraId="1BFFB6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210EC50A">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1.9.1</w:t>
            </w:r>
          </w:p>
        </w:tc>
        <w:tc>
          <w:tcPr>
            <w:tcW w:w="1515" w:type="dxa"/>
            <w:vAlign w:val="center"/>
          </w:tcPr>
          <w:p w14:paraId="5DBAC47A">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现场考察</w:t>
            </w:r>
          </w:p>
        </w:tc>
        <w:tc>
          <w:tcPr>
            <w:tcW w:w="6271" w:type="dxa"/>
            <w:vAlign w:val="center"/>
          </w:tcPr>
          <w:p w14:paraId="126F4553">
            <w:pPr>
              <w:spacing w:line="360" w:lineRule="auto"/>
              <w:jc w:val="both"/>
              <w:rPr>
                <w:rFonts w:ascii="宋体" w:hAnsi="宋体" w:eastAsia="宋体" w:cs="宋体"/>
                <w:color w:val="auto"/>
                <w:spacing w:val="-5"/>
                <w:sz w:val="24"/>
                <w:szCs w:val="24"/>
              </w:rPr>
            </w:pPr>
            <w:r>
              <w:rPr>
                <w:rFonts w:ascii="宋体" w:hAnsi="宋体" w:eastAsia="宋体" w:cs="宋体"/>
                <w:color w:val="auto"/>
                <w:spacing w:val="-5"/>
                <w:sz w:val="24"/>
                <w:szCs w:val="24"/>
              </w:rPr>
              <w:t>√不组织</w:t>
            </w:r>
          </w:p>
        </w:tc>
      </w:tr>
      <w:tr w14:paraId="560E7E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78D9859">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1.9.5</w:t>
            </w:r>
          </w:p>
        </w:tc>
        <w:tc>
          <w:tcPr>
            <w:tcW w:w="1515" w:type="dxa"/>
            <w:vAlign w:val="center"/>
          </w:tcPr>
          <w:p w14:paraId="6988EAEC">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答疑会</w:t>
            </w:r>
          </w:p>
        </w:tc>
        <w:tc>
          <w:tcPr>
            <w:tcW w:w="6271" w:type="dxa"/>
            <w:vAlign w:val="center"/>
          </w:tcPr>
          <w:p w14:paraId="5D8AE998">
            <w:pPr>
              <w:spacing w:line="360" w:lineRule="auto"/>
              <w:jc w:val="both"/>
              <w:rPr>
                <w:rFonts w:ascii="宋体" w:hAnsi="宋体" w:eastAsia="宋体" w:cs="宋体"/>
                <w:color w:val="auto"/>
                <w:spacing w:val="-5"/>
                <w:sz w:val="24"/>
                <w:szCs w:val="24"/>
              </w:rPr>
            </w:pPr>
            <w:r>
              <w:rPr>
                <w:rFonts w:ascii="宋体" w:hAnsi="宋体" w:eastAsia="宋体" w:cs="宋体"/>
                <w:color w:val="auto"/>
                <w:spacing w:val="-5"/>
                <w:sz w:val="24"/>
                <w:szCs w:val="24"/>
              </w:rPr>
              <w:t>√不召开</w:t>
            </w:r>
          </w:p>
        </w:tc>
      </w:tr>
      <w:tr w14:paraId="27E05C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67ACB0D6">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1.10</w:t>
            </w:r>
          </w:p>
        </w:tc>
        <w:tc>
          <w:tcPr>
            <w:tcW w:w="1515" w:type="dxa"/>
            <w:vAlign w:val="center"/>
          </w:tcPr>
          <w:p w14:paraId="46128D1E">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分包</w:t>
            </w:r>
          </w:p>
        </w:tc>
        <w:tc>
          <w:tcPr>
            <w:tcW w:w="6271" w:type="dxa"/>
            <w:vAlign w:val="center"/>
          </w:tcPr>
          <w:p w14:paraId="7867E8E3">
            <w:pPr>
              <w:spacing w:line="360" w:lineRule="auto"/>
              <w:jc w:val="both"/>
              <w:rPr>
                <w:rFonts w:ascii="宋体" w:hAnsi="宋体" w:eastAsia="宋体" w:cs="宋体"/>
                <w:color w:val="auto"/>
                <w:spacing w:val="-5"/>
                <w:sz w:val="24"/>
                <w:szCs w:val="24"/>
              </w:rPr>
            </w:pPr>
            <w:r>
              <w:rPr>
                <w:rFonts w:ascii="宋体" w:hAnsi="宋体" w:eastAsia="宋体" w:cs="宋体"/>
                <w:color w:val="auto"/>
                <w:spacing w:val="-5"/>
                <w:sz w:val="24"/>
                <w:szCs w:val="24"/>
              </w:rPr>
              <w:t>√允许</w:t>
            </w:r>
          </w:p>
        </w:tc>
      </w:tr>
      <w:tr w14:paraId="2C2637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6C366CD">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1.11.1</w:t>
            </w:r>
          </w:p>
        </w:tc>
        <w:tc>
          <w:tcPr>
            <w:tcW w:w="1515" w:type="dxa"/>
            <w:vAlign w:val="center"/>
          </w:tcPr>
          <w:p w14:paraId="747C10B4">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实质性偏差</w:t>
            </w:r>
          </w:p>
        </w:tc>
        <w:tc>
          <w:tcPr>
            <w:tcW w:w="6271" w:type="dxa"/>
            <w:vAlign w:val="center"/>
          </w:tcPr>
          <w:p w14:paraId="002845C2">
            <w:pPr>
              <w:spacing w:line="360" w:lineRule="auto"/>
              <w:jc w:val="both"/>
              <w:rPr>
                <w:rFonts w:ascii="宋体" w:hAnsi="宋体" w:eastAsia="宋体" w:cs="宋体"/>
                <w:color w:val="auto"/>
                <w:spacing w:val="-5"/>
                <w:sz w:val="24"/>
                <w:szCs w:val="24"/>
              </w:rPr>
            </w:pPr>
            <w:r>
              <w:rPr>
                <w:rFonts w:ascii="宋体" w:hAnsi="宋体" w:eastAsia="宋体" w:cs="宋体"/>
                <w:color w:val="auto"/>
                <w:spacing w:val="-5"/>
                <w:sz w:val="24"/>
                <w:szCs w:val="24"/>
              </w:rPr>
              <w:t>√不允许</w:t>
            </w:r>
          </w:p>
        </w:tc>
      </w:tr>
      <w:tr w14:paraId="2AA858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A72EB2A">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1.12</w:t>
            </w:r>
          </w:p>
        </w:tc>
        <w:tc>
          <w:tcPr>
            <w:tcW w:w="1515" w:type="dxa"/>
            <w:vAlign w:val="center"/>
          </w:tcPr>
          <w:p w14:paraId="5D2583CB">
            <w:pPr>
              <w:spacing w:line="360" w:lineRule="auto"/>
              <w:jc w:val="center"/>
              <w:rPr>
                <w:rFonts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是否接受选择性报价方案</w:t>
            </w:r>
          </w:p>
        </w:tc>
        <w:tc>
          <w:tcPr>
            <w:tcW w:w="6271" w:type="dxa"/>
            <w:vAlign w:val="center"/>
          </w:tcPr>
          <w:p w14:paraId="39A8207F">
            <w:pPr>
              <w:spacing w:line="360" w:lineRule="auto"/>
              <w:jc w:val="both"/>
              <w:rPr>
                <w:rFonts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不接受：首次响应文件只允许一个报价方案</w:t>
            </w:r>
          </w:p>
        </w:tc>
      </w:tr>
      <w:tr w14:paraId="2B64C2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625F86B3">
            <w:pPr>
              <w:spacing w:before="68" w:line="360" w:lineRule="auto"/>
              <w:ind w:left="116"/>
              <w:jc w:val="center"/>
              <w:rPr>
                <w:rFonts w:ascii="宋体" w:hAnsi="宋体" w:eastAsia="宋体" w:cs="宋体"/>
                <w:color w:val="auto"/>
                <w:spacing w:val="-5"/>
                <w:sz w:val="24"/>
                <w:szCs w:val="24"/>
              </w:rPr>
            </w:pPr>
            <w:r>
              <w:rPr>
                <w:rFonts w:ascii="宋体" w:hAnsi="宋体" w:eastAsia="宋体" w:cs="宋体"/>
                <w:color w:val="auto"/>
                <w:spacing w:val="-5"/>
                <w:sz w:val="24"/>
                <w:szCs w:val="24"/>
              </w:rPr>
              <w:t>2.1</w:t>
            </w:r>
          </w:p>
        </w:tc>
        <w:tc>
          <w:tcPr>
            <w:tcW w:w="1515" w:type="dxa"/>
            <w:vAlign w:val="center"/>
          </w:tcPr>
          <w:p w14:paraId="46CFC3B4">
            <w:pPr>
              <w:spacing w:before="130" w:line="360" w:lineRule="auto"/>
              <w:ind w:left="124"/>
              <w:jc w:val="center"/>
              <w:rPr>
                <w:rFonts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构成</w:t>
            </w:r>
            <w:r>
              <w:rPr>
                <w:rFonts w:hint="eastAsia" w:ascii="宋体" w:hAnsi="宋体" w:eastAsia="宋体" w:cs="宋体"/>
                <w:color w:val="auto"/>
                <w:spacing w:val="-5"/>
                <w:sz w:val="24"/>
                <w:szCs w:val="24"/>
                <w:lang w:eastAsia="zh-CN"/>
              </w:rPr>
              <w:t>自主磋商</w:t>
            </w:r>
            <w:r>
              <w:rPr>
                <w:rFonts w:ascii="宋体" w:hAnsi="宋体" w:eastAsia="宋体" w:cs="宋体"/>
                <w:color w:val="auto"/>
                <w:spacing w:val="-5"/>
                <w:sz w:val="24"/>
                <w:szCs w:val="24"/>
                <w:lang w:eastAsia="zh-CN"/>
              </w:rPr>
              <w:t>文件的其他材料</w:t>
            </w:r>
          </w:p>
        </w:tc>
        <w:tc>
          <w:tcPr>
            <w:tcW w:w="6271" w:type="dxa"/>
            <w:vAlign w:val="center"/>
          </w:tcPr>
          <w:p w14:paraId="0CDDD1FF">
            <w:pPr>
              <w:spacing w:before="69" w:line="360" w:lineRule="auto"/>
              <w:jc w:val="both"/>
              <w:rPr>
                <w:rFonts w:ascii="宋体" w:hAnsi="宋体" w:eastAsia="宋体" w:cs="宋体"/>
                <w:color w:val="auto"/>
                <w:spacing w:val="-5"/>
                <w:sz w:val="24"/>
                <w:szCs w:val="24"/>
                <w:lang w:eastAsia="zh-CN"/>
              </w:rPr>
            </w:pPr>
            <w:r>
              <w:rPr>
                <w:rFonts w:ascii="宋体" w:hAnsi="宋体" w:eastAsia="宋体" w:cs="宋体"/>
                <w:color w:val="auto"/>
                <w:spacing w:val="-5"/>
                <w:sz w:val="24"/>
                <w:szCs w:val="24"/>
              </w:rPr>
              <w:t>无</w:t>
            </w:r>
          </w:p>
        </w:tc>
      </w:tr>
      <w:tr w14:paraId="2ECB0C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Merge w:val="restart"/>
            <w:vAlign w:val="center"/>
          </w:tcPr>
          <w:p w14:paraId="37CC9153">
            <w:pPr>
              <w:spacing w:before="68" w:line="360" w:lineRule="auto"/>
              <w:ind w:left="116"/>
              <w:jc w:val="center"/>
              <w:rPr>
                <w:rFonts w:ascii="宋体" w:hAnsi="宋体" w:eastAsia="宋体" w:cs="宋体"/>
                <w:color w:val="auto"/>
                <w:spacing w:val="-5"/>
                <w:sz w:val="24"/>
                <w:szCs w:val="24"/>
              </w:rPr>
            </w:pPr>
            <w:r>
              <w:rPr>
                <w:rFonts w:ascii="宋体" w:hAnsi="宋体" w:eastAsia="宋体" w:cs="宋体"/>
                <w:color w:val="auto"/>
                <w:spacing w:val="-5"/>
                <w:sz w:val="24"/>
                <w:szCs w:val="24"/>
              </w:rPr>
              <w:t>2.2.1</w:t>
            </w:r>
          </w:p>
        </w:tc>
        <w:tc>
          <w:tcPr>
            <w:tcW w:w="1515" w:type="dxa"/>
            <w:vMerge w:val="restart"/>
            <w:vAlign w:val="center"/>
          </w:tcPr>
          <w:p w14:paraId="24DD1615">
            <w:pPr>
              <w:spacing w:before="68" w:line="360" w:lineRule="auto"/>
              <w:ind w:left="122"/>
              <w:jc w:val="center"/>
              <w:rPr>
                <w:rFonts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供应商要求澄清</w:t>
            </w:r>
            <w:r>
              <w:rPr>
                <w:rFonts w:hint="eastAsia" w:ascii="宋体" w:hAnsi="宋体" w:eastAsia="宋体" w:cs="宋体"/>
                <w:color w:val="auto"/>
                <w:spacing w:val="-5"/>
                <w:sz w:val="24"/>
                <w:szCs w:val="24"/>
                <w:lang w:eastAsia="zh-CN"/>
              </w:rPr>
              <w:t>自主磋商</w:t>
            </w:r>
            <w:r>
              <w:rPr>
                <w:rFonts w:ascii="宋体" w:hAnsi="宋体" w:eastAsia="宋体" w:cs="宋体"/>
                <w:color w:val="auto"/>
                <w:spacing w:val="-5"/>
                <w:sz w:val="24"/>
                <w:szCs w:val="24"/>
                <w:lang w:eastAsia="zh-CN"/>
              </w:rPr>
              <w:t>文件</w:t>
            </w:r>
          </w:p>
        </w:tc>
        <w:tc>
          <w:tcPr>
            <w:tcW w:w="6271" w:type="dxa"/>
            <w:vAlign w:val="center"/>
          </w:tcPr>
          <w:p w14:paraId="08016769">
            <w:pPr>
              <w:spacing w:before="173" w:line="360" w:lineRule="auto"/>
              <w:ind w:left="123"/>
              <w:jc w:val="both"/>
              <w:rPr>
                <w:rFonts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时间：提交首次响应文件截止时间前5日</w:t>
            </w:r>
          </w:p>
        </w:tc>
      </w:tr>
      <w:tr w14:paraId="05A193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Merge w:val="continue"/>
            <w:vAlign w:val="center"/>
          </w:tcPr>
          <w:p w14:paraId="3A3F86F9">
            <w:pPr>
              <w:spacing w:line="360" w:lineRule="auto"/>
              <w:jc w:val="center"/>
              <w:rPr>
                <w:rFonts w:ascii="宋体" w:hAnsi="宋体" w:eastAsia="宋体" w:cs="宋体"/>
                <w:color w:val="auto"/>
                <w:spacing w:val="-5"/>
                <w:sz w:val="24"/>
                <w:szCs w:val="24"/>
                <w:lang w:eastAsia="zh-CN"/>
              </w:rPr>
            </w:pPr>
          </w:p>
        </w:tc>
        <w:tc>
          <w:tcPr>
            <w:tcW w:w="1515" w:type="dxa"/>
            <w:vMerge w:val="continue"/>
            <w:vAlign w:val="center"/>
          </w:tcPr>
          <w:p w14:paraId="5E7BCCC6">
            <w:pPr>
              <w:spacing w:line="360" w:lineRule="auto"/>
              <w:jc w:val="center"/>
              <w:rPr>
                <w:rFonts w:ascii="宋体" w:hAnsi="宋体" w:eastAsia="宋体" w:cs="宋体"/>
                <w:color w:val="auto"/>
                <w:spacing w:val="-5"/>
                <w:sz w:val="24"/>
                <w:szCs w:val="24"/>
                <w:lang w:eastAsia="zh-CN"/>
              </w:rPr>
            </w:pPr>
          </w:p>
        </w:tc>
        <w:tc>
          <w:tcPr>
            <w:tcW w:w="6271" w:type="dxa"/>
            <w:vAlign w:val="center"/>
          </w:tcPr>
          <w:p w14:paraId="678BCB29">
            <w:pPr>
              <w:spacing w:before="132" w:line="360" w:lineRule="auto"/>
              <w:ind w:left="114" w:right="107" w:firstLine="1"/>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形式：书面形式提出并加盖公司公章及法定代表人或授权委托人签字</w:t>
            </w:r>
          </w:p>
        </w:tc>
      </w:tr>
      <w:tr w14:paraId="66E0A4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A198252">
            <w:pPr>
              <w:spacing w:before="68" w:line="360" w:lineRule="auto"/>
              <w:ind w:left="116"/>
              <w:jc w:val="center"/>
              <w:rPr>
                <w:rFonts w:ascii="宋体" w:hAnsi="宋体" w:eastAsia="宋体" w:cs="宋体"/>
                <w:color w:val="auto"/>
                <w:spacing w:val="-5"/>
                <w:sz w:val="24"/>
                <w:szCs w:val="24"/>
              </w:rPr>
            </w:pPr>
            <w:r>
              <w:rPr>
                <w:rFonts w:ascii="宋体" w:hAnsi="宋体" w:eastAsia="宋体" w:cs="宋体"/>
                <w:color w:val="auto"/>
                <w:spacing w:val="-5"/>
                <w:sz w:val="24"/>
                <w:szCs w:val="24"/>
              </w:rPr>
              <w:t>2.2.2</w:t>
            </w:r>
          </w:p>
        </w:tc>
        <w:tc>
          <w:tcPr>
            <w:tcW w:w="1515" w:type="dxa"/>
            <w:vAlign w:val="center"/>
          </w:tcPr>
          <w:p w14:paraId="1DF40C1E">
            <w:pPr>
              <w:spacing w:before="68" w:line="360" w:lineRule="auto"/>
              <w:ind w:left="124"/>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自主磋商</w:t>
            </w:r>
            <w:r>
              <w:rPr>
                <w:rFonts w:ascii="宋体" w:hAnsi="宋体" w:eastAsia="宋体" w:cs="宋体"/>
                <w:color w:val="auto"/>
                <w:spacing w:val="-5"/>
                <w:sz w:val="24"/>
                <w:szCs w:val="24"/>
                <w:lang w:eastAsia="zh-CN"/>
              </w:rPr>
              <w:t>文件澄清发出的形式</w:t>
            </w:r>
          </w:p>
        </w:tc>
        <w:tc>
          <w:tcPr>
            <w:tcW w:w="6271" w:type="dxa"/>
            <w:vAlign w:val="center"/>
          </w:tcPr>
          <w:p w14:paraId="6F3911CE">
            <w:pPr>
              <w:spacing w:before="133" w:line="360" w:lineRule="auto"/>
              <w:ind w:left="113" w:right="108" w:hanging="1"/>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通过</w:t>
            </w:r>
            <w:r>
              <w:rPr>
                <w:rFonts w:hint="eastAsia" w:ascii="宋体" w:hAnsi="宋体" w:cs="宋体"/>
                <w:color w:val="auto"/>
                <w:sz w:val="24"/>
              </w:rPr>
              <w:t>《河南省体育彩票网》</w:t>
            </w:r>
            <w:r>
              <w:rPr>
                <w:rFonts w:hint="eastAsia" w:ascii="宋体" w:hAnsi="宋体" w:eastAsia="宋体" w:cs="宋体"/>
                <w:color w:val="auto"/>
                <w:spacing w:val="-5"/>
                <w:sz w:val="24"/>
                <w:szCs w:val="24"/>
                <w:lang w:eastAsia="zh-CN"/>
              </w:rPr>
              <w:t>平台发布或澄清答疑文件</w:t>
            </w:r>
          </w:p>
        </w:tc>
      </w:tr>
      <w:tr w14:paraId="4E4CD1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41B7B256">
            <w:pPr>
              <w:spacing w:before="69" w:line="360" w:lineRule="auto"/>
              <w:ind w:left="116"/>
              <w:jc w:val="center"/>
              <w:rPr>
                <w:rFonts w:ascii="宋体" w:hAnsi="宋体" w:eastAsia="宋体" w:cs="宋体"/>
                <w:color w:val="auto"/>
                <w:spacing w:val="-5"/>
                <w:sz w:val="24"/>
                <w:szCs w:val="24"/>
              </w:rPr>
            </w:pPr>
            <w:r>
              <w:rPr>
                <w:rFonts w:ascii="宋体" w:hAnsi="宋体" w:eastAsia="宋体" w:cs="宋体"/>
                <w:color w:val="auto"/>
                <w:spacing w:val="-5"/>
                <w:sz w:val="24"/>
                <w:szCs w:val="24"/>
              </w:rPr>
              <w:t>2.2.3</w:t>
            </w:r>
          </w:p>
        </w:tc>
        <w:tc>
          <w:tcPr>
            <w:tcW w:w="1515" w:type="dxa"/>
            <w:vAlign w:val="center"/>
          </w:tcPr>
          <w:p w14:paraId="1A459DC7">
            <w:pPr>
              <w:spacing w:before="68" w:line="360" w:lineRule="auto"/>
              <w:ind w:left="122"/>
              <w:jc w:val="center"/>
              <w:rPr>
                <w:rFonts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供应商确认收到</w:t>
            </w:r>
            <w:r>
              <w:rPr>
                <w:rFonts w:hint="eastAsia" w:ascii="宋体" w:hAnsi="宋体" w:eastAsia="宋体" w:cs="宋体"/>
                <w:color w:val="auto"/>
                <w:spacing w:val="-5"/>
                <w:sz w:val="24"/>
                <w:szCs w:val="24"/>
                <w:lang w:eastAsia="zh-CN"/>
              </w:rPr>
              <w:t>自主磋商</w:t>
            </w:r>
            <w:r>
              <w:rPr>
                <w:rFonts w:ascii="宋体" w:hAnsi="宋体" w:eastAsia="宋体" w:cs="宋体"/>
                <w:color w:val="auto"/>
                <w:spacing w:val="-5"/>
                <w:sz w:val="24"/>
                <w:szCs w:val="24"/>
                <w:lang w:eastAsia="zh-CN"/>
              </w:rPr>
              <w:t>文件澄清</w:t>
            </w:r>
          </w:p>
        </w:tc>
        <w:tc>
          <w:tcPr>
            <w:tcW w:w="6271" w:type="dxa"/>
            <w:vAlign w:val="center"/>
          </w:tcPr>
          <w:p w14:paraId="3C533DC2">
            <w:pPr>
              <w:spacing w:before="68" w:line="360" w:lineRule="auto"/>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时间：在收到相应澄清文件后24小时内</w:t>
            </w:r>
          </w:p>
          <w:p w14:paraId="627AE292">
            <w:pPr>
              <w:spacing w:before="68" w:line="360" w:lineRule="auto"/>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形式：通过</w:t>
            </w:r>
            <w:r>
              <w:rPr>
                <w:rFonts w:hint="eastAsia" w:ascii="宋体" w:hAnsi="宋体" w:cs="宋体"/>
                <w:color w:val="auto"/>
                <w:sz w:val="24"/>
              </w:rPr>
              <w:t>《河南省体育彩票网》</w:t>
            </w:r>
            <w:r>
              <w:rPr>
                <w:rFonts w:hint="eastAsia" w:ascii="宋体" w:hAnsi="宋体" w:eastAsia="宋体" w:cs="宋体"/>
                <w:color w:val="auto"/>
                <w:spacing w:val="-5"/>
                <w:sz w:val="24"/>
                <w:szCs w:val="24"/>
                <w:lang w:eastAsia="zh-CN"/>
              </w:rPr>
              <w:t>通知并默认收到或澄清答疑文件</w:t>
            </w:r>
          </w:p>
        </w:tc>
      </w:tr>
      <w:tr w14:paraId="2E6413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3302518D">
            <w:pPr>
              <w:spacing w:before="69" w:line="360" w:lineRule="auto"/>
              <w:ind w:left="116"/>
              <w:jc w:val="center"/>
              <w:rPr>
                <w:rFonts w:ascii="宋体" w:hAnsi="宋体" w:eastAsia="宋体" w:cs="宋体"/>
                <w:color w:val="auto"/>
                <w:spacing w:val="-5"/>
                <w:sz w:val="24"/>
                <w:szCs w:val="24"/>
              </w:rPr>
            </w:pPr>
            <w:r>
              <w:rPr>
                <w:rFonts w:ascii="宋体" w:hAnsi="宋体" w:eastAsia="宋体" w:cs="宋体"/>
                <w:color w:val="auto"/>
                <w:spacing w:val="-5"/>
                <w:sz w:val="24"/>
                <w:szCs w:val="24"/>
              </w:rPr>
              <w:t>2.3.2</w:t>
            </w:r>
          </w:p>
        </w:tc>
        <w:tc>
          <w:tcPr>
            <w:tcW w:w="1515" w:type="dxa"/>
            <w:vAlign w:val="center"/>
          </w:tcPr>
          <w:p w14:paraId="18947AD2">
            <w:pPr>
              <w:spacing w:before="68" w:line="360" w:lineRule="auto"/>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自主磋商</w:t>
            </w:r>
            <w:r>
              <w:rPr>
                <w:rFonts w:ascii="宋体" w:hAnsi="宋体" w:eastAsia="宋体" w:cs="宋体"/>
                <w:color w:val="auto"/>
                <w:spacing w:val="-5"/>
                <w:sz w:val="24"/>
                <w:szCs w:val="24"/>
                <w:lang w:eastAsia="zh-CN"/>
              </w:rPr>
              <w:t>文件修改发出的形式</w:t>
            </w:r>
          </w:p>
        </w:tc>
        <w:tc>
          <w:tcPr>
            <w:tcW w:w="6271" w:type="dxa"/>
            <w:vAlign w:val="center"/>
          </w:tcPr>
          <w:p w14:paraId="6A3D6EF5">
            <w:pPr>
              <w:spacing w:before="131" w:line="360" w:lineRule="auto"/>
              <w:ind w:right="108"/>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通过</w:t>
            </w:r>
            <w:r>
              <w:rPr>
                <w:rFonts w:hint="eastAsia" w:ascii="宋体" w:hAnsi="宋体" w:cs="宋体"/>
                <w:color w:val="auto"/>
                <w:sz w:val="24"/>
              </w:rPr>
              <w:t>《河南省体育彩票网》</w:t>
            </w:r>
            <w:r>
              <w:rPr>
                <w:rFonts w:hint="eastAsia" w:ascii="宋体" w:hAnsi="宋体" w:eastAsia="宋体" w:cs="宋体"/>
                <w:color w:val="auto"/>
                <w:spacing w:val="-5"/>
                <w:sz w:val="24"/>
                <w:szCs w:val="24"/>
                <w:lang w:eastAsia="zh-CN"/>
              </w:rPr>
              <w:t>平台发布或澄清答疑文件</w:t>
            </w:r>
          </w:p>
        </w:tc>
      </w:tr>
      <w:tr w14:paraId="6F190A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073C7076">
            <w:pPr>
              <w:spacing w:before="68" w:line="360" w:lineRule="auto"/>
              <w:ind w:left="116"/>
              <w:jc w:val="center"/>
              <w:rPr>
                <w:rFonts w:ascii="宋体" w:hAnsi="宋体" w:eastAsia="宋体" w:cs="宋体"/>
                <w:color w:val="auto"/>
                <w:spacing w:val="-5"/>
                <w:sz w:val="24"/>
                <w:szCs w:val="24"/>
              </w:rPr>
            </w:pPr>
            <w:r>
              <w:rPr>
                <w:rFonts w:ascii="宋体" w:hAnsi="宋体" w:eastAsia="宋体" w:cs="宋体"/>
                <w:color w:val="auto"/>
                <w:spacing w:val="-5"/>
                <w:sz w:val="24"/>
                <w:szCs w:val="24"/>
              </w:rPr>
              <w:t>2.3.3</w:t>
            </w:r>
          </w:p>
        </w:tc>
        <w:tc>
          <w:tcPr>
            <w:tcW w:w="1515" w:type="dxa"/>
            <w:vAlign w:val="center"/>
          </w:tcPr>
          <w:p w14:paraId="5420BFE0">
            <w:pPr>
              <w:spacing w:before="68" w:line="360" w:lineRule="auto"/>
              <w:jc w:val="center"/>
              <w:rPr>
                <w:rFonts w:ascii="宋体" w:hAnsi="宋体" w:eastAsia="宋体" w:cs="宋体"/>
                <w:color w:val="auto"/>
                <w:spacing w:val="-5"/>
                <w:sz w:val="24"/>
                <w:szCs w:val="24"/>
                <w:lang w:eastAsia="zh-CN"/>
              </w:rPr>
            </w:pPr>
            <w:r>
              <w:rPr>
                <w:rFonts w:ascii="宋体" w:hAnsi="宋体" w:eastAsia="宋体" w:cs="宋体"/>
                <w:color w:val="auto"/>
                <w:spacing w:val="-5"/>
                <w:sz w:val="24"/>
                <w:szCs w:val="24"/>
                <w:lang w:eastAsia="zh-CN"/>
              </w:rPr>
              <w:t>供应商确认收到</w:t>
            </w:r>
            <w:r>
              <w:rPr>
                <w:rFonts w:hint="eastAsia" w:ascii="宋体" w:hAnsi="宋体" w:eastAsia="宋体" w:cs="宋体"/>
                <w:color w:val="auto"/>
                <w:spacing w:val="-5"/>
                <w:sz w:val="24"/>
                <w:szCs w:val="24"/>
                <w:lang w:eastAsia="zh-CN"/>
              </w:rPr>
              <w:t>自主磋商</w:t>
            </w:r>
            <w:r>
              <w:rPr>
                <w:rFonts w:ascii="宋体" w:hAnsi="宋体" w:eastAsia="宋体" w:cs="宋体"/>
                <w:color w:val="auto"/>
                <w:spacing w:val="-5"/>
                <w:sz w:val="24"/>
                <w:szCs w:val="24"/>
                <w:lang w:eastAsia="zh-CN"/>
              </w:rPr>
              <w:t>文件修改</w:t>
            </w:r>
          </w:p>
        </w:tc>
        <w:tc>
          <w:tcPr>
            <w:tcW w:w="6271" w:type="dxa"/>
            <w:vAlign w:val="center"/>
          </w:tcPr>
          <w:p w14:paraId="6C138823">
            <w:pPr>
              <w:spacing w:before="68" w:line="360" w:lineRule="auto"/>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时间：在收到相应修改文件后24小时内</w:t>
            </w:r>
          </w:p>
          <w:p w14:paraId="72E914E2">
            <w:pPr>
              <w:spacing w:before="68" w:line="360" w:lineRule="auto"/>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形式：通过</w:t>
            </w:r>
            <w:r>
              <w:rPr>
                <w:rFonts w:hint="eastAsia" w:ascii="宋体" w:hAnsi="宋体" w:cs="宋体"/>
                <w:color w:val="auto"/>
                <w:sz w:val="24"/>
              </w:rPr>
              <w:t>《河南省体育彩票网》</w:t>
            </w:r>
            <w:r>
              <w:rPr>
                <w:rFonts w:hint="eastAsia" w:ascii="宋体" w:hAnsi="宋体" w:eastAsia="宋体" w:cs="宋体"/>
                <w:color w:val="auto"/>
                <w:spacing w:val="-5"/>
                <w:sz w:val="24"/>
                <w:szCs w:val="24"/>
                <w:lang w:eastAsia="zh-CN"/>
              </w:rPr>
              <w:t>平台通知并默认收到或澄清答疑文件</w:t>
            </w:r>
          </w:p>
        </w:tc>
      </w:tr>
      <w:tr w14:paraId="4A62D3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C663264">
            <w:pPr>
              <w:spacing w:before="68" w:line="360" w:lineRule="auto"/>
              <w:ind w:left="117"/>
              <w:jc w:val="center"/>
              <w:rPr>
                <w:rFonts w:ascii="宋体" w:hAnsi="宋体" w:eastAsia="宋体" w:cs="宋体"/>
                <w:color w:val="auto"/>
                <w:spacing w:val="-5"/>
                <w:sz w:val="24"/>
                <w:szCs w:val="24"/>
              </w:rPr>
            </w:pPr>
            <w:r>
              <w:rPr>
                <w:rFonts w:ascii="宋体" w:hAnsi="宋体" w:eastAsia="宋体" w:cs="宋体"/>
                <w:color w:val="auto"/>
                <w:spacing w:val="-5"/>
                <w:sz w:val="24"/>
                <w:szCs w:val="24"/>
              </w:rPr>
              <w:t>3.2.3</w:t>
            </w:r>
          </w:p>
        </w:tc>
        <w:tc>
          <w:tcPr>
            <w:tcW w:w="1515" w:type="dxa"/>
            <w:vAlign w:val="center"/>
          </w:tcPr>
          <w:p w14:paraId="6C0169EF">
            <w:pPr>
              <w:spacing w:before="68"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报价方式</w:t>
            </w:r>
          </w:p>
        </w:tc>
        <w:tc>
          <w:tcPr>
            <w:tcW w:w="6271" w:type="dxa"/>
            <w:vAlign w:val="center"/>
          </w:tcPr>
          <w:p w14:paraId="76F91F74">
            <w:pPr>
              <w:numPr>
                <w:ilvl w:val="0"/>
                <w:numId w:val="0"/>
              </w:numPr>
              <w:spacing w:before="133" w:line="360" w:lineRule="auto"/>
              <w:ind w:right="94" w:rightChars="0"/>
              <w:jc w:val="both"/>
              <w:rPr>
                <w:rFonts w:hint="eastAsia" w:cs="宋体"/>
                <w:b w:val="0"/>
                <w:bCs w:val="0"/>
                <w:color w:val="auto"/>
                <w:spacing w:val="-5"/>
                <w:sz w:val="24"/>
                <w:szCs w:val="24"/>
                <w:lang w:eastAsia="zh-CN"/>
              </w:rPr>
            </w:pPr>
            <w:r>
              <w:rPr>
                <w:rFonts w:hint="eastAsia" w:cs="宋体"/>
                <w:b w:val="0"/>
                <w:bCs w:val="0"/>
                <w:color w:val="auto"/>
                <w:spacing w:val="-5"/>
                <w:sz w:val="24"/>
                <w:szCs w:val="24"/>
                <w:lang w:eastAsia="zh-CN"/>
              </w:rPr>
              <w:t>（</w:t>
            </w:r>
            <w:r>
              <w:rPr>
                <w:rFonts w:hint="eastAsia" w:cs="宋体"/>
                <w:b w:val="0"/>
                <w:bCs w:val="0"/>
                <w:color w:val="auto"/>
                <w:spacing w:val="-5"/>
                <w:sz w:val="24"/>
                <w:szCs w:val="24"/>
                <w:lang w:val="en-US" w:eastAsia="zh-CN"/>
              </w:rPr>
              <w:t>1</w:t>
            </w:r>
            <w:r>
              <w:rPr>
                <w:rFonts w:hint="eastAsia" w:cs="宋体"/>
                <w:b w:val="0"/>
                <w:bCs w:val="0"/>
                <w:color w:val="auto"/>
                <w:spacing w:val="-5"/>
                <w:sz w:val="24"/>
                <w:szCs w:val="24"/>
                <w:lang w:eastAsia="zh-CN"/>
              </w:rPr>
              <w:t>）本项目磋商报价及合同支付、结算均采用人民币为计量单位。</w:t>
            </w:r>
          </w:p>
          <w:p w14:paraId="76048D1F">
            <w:pPr>
              <w:spacing w:before="133" w:line="360" w:lineRule="auto"/>
              <w:ind w:right="94"/>
              <w:jc w:val="both"/>
              <w:rPr>
                <w:rFonts w:hint="eastAsia" w:ascii="宋体" w:hAnsi="宋体" w:eastAsia="宋体" w:cs="宋体"/>
                <w:b w:val="0"/>
                <w:bCs w:val="0"/>
                <w:color w:val="auto"/>
                <w:spacing w:val="-5"/>
                <w:sz w:val="24"/>
                <w:szCs w:val="24"/>
                <w:lang w:eastAsia="zh-CN"/>
              </w:rPr>
            </w:pPr>
            <w:r>
              <w:rPr>
                <w:rFonts w:hint="eastAsia" w:cs="宋体"/>
                <w:b w:val="0"/>
                <w:bCs w:val="0"/>
                <w:color w:val="auto"/>
                <w:spacing w:val="-5"/>
                <w:sz w:val="24"/>
                <w:szCs w:val="24"/>
                <w:lang w:eastAsia="zh-CN"/>
              </w:rPr>
              <w:t>（</w:t>
            </w:r>
            <w:r>
              <w:rPr>
                <w:rFonts w:hint="eastAsia" w:cs="宋体"/>
                <w:b w:val="0"/>
                <w:bCs w:val="0"/>
                <w:color w:val="auto"/>
                <w:spacing w:val="-5"/>
                <w:sz w:val="24"/>
                <w:szCs w:val="24"/>
                <w:lang w:val="en-US" w:eastAsia="zh-CN"/>
              </w:rPr>
              <w:t>2</w:t>
            </w:r>
            <w:r>
              <w:rPr>
                <w:rFonts w:hint="eastAsia" w:cs="宋体"/>
                <w:b w:val="0"/>
                <w:bCs w:val="0"/>
                <w:color w:val="auto"/>
                <w:spacing w:val="-5"/>
                <w:sz w:val="24"/>
                <w:szCs w:val="24"/>
                <w:lang w:eastAsia="zh-CN"/>
              </w:rPr>
              <w:t>）磋商报价时</w:t>
            </w:r>
            <w:r>
              <w:rPr>
                <w:rFonts w:hint="eastAsia" w:ascii="宋体" w:hAnsi="宋体" w:eastAsia="宋体" w:cs="宋体"/>
                <w:b w:val="0"/>
                <w:bCs w:val="0"/>
                <w:color w:val="auto"/>
                <w:spacing w:val="-5"/>
                <w:sz w:val="24"/>
                <w:szCs w:val="24"/>
                <w:lang w:eastAsia="zh-CN"/>
              </w:rPr>
              <w:t>，应遵循磋商文件及本项目</w:t>
            </w:r>
            <w:r>
              <w:rPr>
                <w:rFonts w:hint="eastAsia" w:ascii="宋体" w:hAnsi="宋体" w:eastAsia="宋体" w:cs="宋体"/>
                <w:b w:val="0"/>
                <w:bCs w:val="0"/>
                <w:color w:val="auto"/>
                <w:spacing w:val="-5"/>
                <w:sz w:val="24"/>
                <w:szCs w:val="24"/>
                <w:lang w:val="en-US" w:eastAsia="zh-CN"/>
              </w:rPr>
              <w:t>实体店店招改造施工要求</w:t>
            </w:r>
            <w:r>
              <w:rPr>
                <w:rFonts w:hint="eastAsia" w:ascii="宋体" w:hAnsi="宋体" w:eastAsia="宋体" w:cs="宋体"/>
                <w:b w:val="0"/>
                <w:bCs w:val="0"/>
                <w:color w:val="auto"/>
                <w:spacing w:val="-5"/>
                <w:sz w:val="24"/>
                <w:szCs w:val="24"/>
                <w:lang w:eastAsia="zh-CN"/>
              </w:rPr>
              <w:t>、施工规范、施工方案及技术要求结合</w:t>
            </w:r>
            <w:r>
              <w:rPr>
                <w:rFonts w:hint="eastAsia" w:cs="宋体"/>
                <w:b w:val="0"/>
                <w:bCs w:val="0"/>
                <w:color w:val="auto"/>
                <w:spacing w:val="-5"/>
                <w:sz w:val="24"/>
                <w:szCs w:val="24"/>
                <w:lang w:eastAsia="zh-CN"/>
              </w:rPr>
              <w:t>供应商自身的技术实力、经验、企业成本、管理水平和现行市场行情、售后服务，充分考虑各种风险因素，合理自主报价，但不得低于企业成本。</w:t>
            </w:r>
          </w:p>
          <w:p w14:paraId="499100E7">
            <w:pPr>
              <w:spacing w:before="133" w:line="360" w:lineRule="auto"/>
              <w:ind w:right="94"/>
              <w:jc w:val="both"/>
              <w:rPr>
                <w:rFonts w:hint="eastAsia" w:ascii="宋体" w:hAnsi="宋体" w:eastAsia="宋体" w:cs="宋体"/>
                <w:color w:val="auto"/>
                <w:spacing w:val="-5"/>
                <w:sz w:val="24"/>
                <w:szCs w:val="24"/>
                <w:lang w:eastAsia="zh-CN"/>
              </w:rPr>
            </w:pPr>
            <w:r>
              <w:rPr>
                <w:rFonts w:hint="eastAsia" w:cs="宋体"/>
                <w:b w:val="0"/>
                <w:bCs w:val="0"/>
                <w:color w:val="auto"/>
                <w:spacing w:val="-5"/>
                <w:sz w:val="24"/>
                <w:szCs w:val="24"/>
                <w:lang w:eastAsia="zh-CN"/>
              </w:rPr>
              <w:t>说明：</w:t>
            </w:r>
            <w:r>
              <w:rPr>
                <w:rFonts w:hint="eastAsia" w:ascii="宋体" w:hAnsi="宋体" w:eastAsia="宋体" w:cs="宋体"/>
                <w:b w:val="0"/>
                <w:bCs w:val="0"/>
                <w:color w:val="auto"/>
                <w:spacing w:val="-5"/>
                <w:sz w:val="24"/>
                <w:szCs w:val="24"/>
                <w:lang w:eastAsia="zh-CN"/>
              </w:rPr>
              <w:t>因各实体店情况不同，项目实施中需要现场测量确认，成交人在实施之前应根据采购人提供的河南省体育彩票实体店地址进行现场测量，根据实体店实际条件和磋商文件中的技术标准及要求，并经采购人确认，决定每个实体店实施的具体细节。结算时根据</w:t>
            </w:r>
            <w:r>
              <w:rPr>
                <w:rFonts w:hint="eastAsia" w:cs="宋体"/>
                <w:b w:val="0"/>
                <w:bCs w:val="0"/>
                <w:color w:val="auto"/>
                <w:spacing w:val="-5"/>
                <w:sz w:val="24"/>
                <w:szCs w:val="24"/>
                <w:lang w:val="en-US" w:eastAsia="zh-CN"/>
              </w:rPr>
              <w:t>实际产生的费用据实结算。</w:t>
            </w:r>
          </w:p>
        </w:tc>
      </w:tr>
      <w:tr w14:paraId="1E6418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68CAFC3E">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3.3.1</w:t>
            </w:r>
          </w:p>
        </w:tc>
        <w:tc>
          <w:tcPr>
            <w:tcW w:w="1515" w:type="dxa"/>
            <w:vAlign w:val="center"/>
          </w:tcPr>
          <w:p w14:paraId="4863FABA">
            <w:pPr>
              <w:spacing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磋商有效期</w:t>
            </w:r>
          </w:p>
        </w:tc>
        <w:tc>
          <w:tcPr>
            <w:tcW w:w="6271" w:type="dxa"/>
            <w:vAlign w:val="center"/>
          </w:tcPr>
          <w:p w14:paraId="3823A12A">
            <w:pPr>
              <w:spacing w:line="360" w:lineRule="auto"/>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提交首次响应文件的截止之日起</w:t>
            </w:r>
            <w:r>
              <w:rPr>
                <w:rFonts w:ascii="宋体" w:hAnsi="宋体" w:eastAsia="宋体" w:cs="宋体"/>
                <w:color w:val="auto"/>
                <w:spacing w:val="-5"/>
                <w:sz w:val="24"/>
                <w:szCs w:val="24"/>
                <w:lang w:eastAsia="zh-CN"/>
              </w:rPr>
              <w:t>90</w:t>
            </w:r>
            <w:r>
              <w:rPr>
                <w:rFonts w:hint="eastAsia" w:ascii="宋体" w:hAnsi="宋体" w:eastAsia="宋体" w:cs="宋体"/>
                <w:color w:val="auto"/>
                <w:spacing w:val="-5"/>
                <w:sz w:val="24"/>
                <w:szCs w:val="24"/>
                <w:lang w:eastAsia="zh-CN"/>
              </w:rPr>
              <w:t>日历天</w:t>
            </w:r>
          </w:p>
        </w:tc>
      </w:tr>
      <w:tr w14:paraId="04246A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45E8B426">
            <w:pPr>
              <w:spacing w:before="68" w:line="360" w:lineRule="auto"/>
              <w:ind w:left="117"/>
              <w:jc w:val="center"/>
              <w:rPr>
                <w:rFonts w:ascii="宋体" w:hAnsi="宋体" w:eastAsia="宋体" w:cs="宋体"/>
                <w:color w:val="auto"/>
                <w:spacing w:val="-5"/>
                <w:sz w:val="24"/>
                <w:szCs w:val="24"/>
              </w:rPr>
            </w:pPr>
            <w:r>
              <w:rPr>
                <w:rFonts w:ascii="宋体" w:hAnsi="宋体" w:eastAsia="宋体" w:cs="宋体"/>
                <w:color w:val="auto"/>
                <w:spacing w:val="-5"/>
                <w:sz w:val="24"/>
                <w:szCs w:val="24"/>
              </w:rPr>
              <w:t>3.4.1</w:t>
            </w:r>
          </w:p>
        </w:tc>
        <w:tc>
          <w:tcPr>
            <w:tcW w:w="1515" w:type="dxa"/>
            <w:vAlign w:val="center"/>
          </w:tcPr>
          <w:p w14:paraId="69CFD1A6">
            <w:pPr>
              <w:spacing w:before="69"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磋商保证金</w:t>
            </w:r>
          </w:p>
        </w:tc>
        <w:tc>
          <w:tcPr>
            <w:tcW w:w="6271" w:type="dxa"/>
            <w:vAlign w:val="center"/>
          </w:tcPr>
          <w:p w14:paraId="4928763C">
            <w:pPr>
              <w:spacing w:before="128" w:line="360" w:lineRule="auto"/>
              <w:ind w:left="123"/>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不要求，根据豫财购</w:t>
            </w:r>
            <w:r>
              <w:rPr>
                <w:rFonts w:ascii="宋体" w:hAnsi="宋体" w:eastAsia="宋体" w:cs="宋体"/>
                <w:color w:val="auto"/>
                <w:spacing w:val="-5"/>
                <w:sz w:val="24"/>
                <w:szCs w:val="24"/>
                <w:lang w:eastAsia="zh-CN"/>
              </w:rPr>
              <w:t>[2019]4</w:t>
            </w:r>
            <w:r>
              <w:rPr>
                <w:rFonts w:hint="eastAsia" w:ascii="宋体" w:hAnsi="宋体" w:eastAsia="宋体" w:cs="宋体"/>
                <w:color w:val="auto"/>
                <w:spacing w:val="-5"/>
                <w:sz w:val="24"/>
                <w:szCs w:val="24"/>
                <w:lang w:eastAsia="zh-CN"/>
              </w:rPr>
              <w:t>号文件的相关规定，本次磋商不收取磋商保证金。</w:t>
            </w:r>
          </w:p>
        </w:tc>
      </w:tr>
      <w:tr w14:paraId="35C58E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5F98E196">
            <w:pPr>
              <w:spacing w:before="68" w:line="360" w:lineRule="auto"/>
              <w:ind w:left="117"/>
              <w:jc w:val="center"/>
              <w:rPr>
                <w:rFonts w:ascii="宋体" w:hAnsi="宋体" w:eastAsia="宋体" w:cs="宋体"/>
                <w:color w:val="auto"/>
                <w:spacing w:val="-5"/>
                <w:sz w:val="24"/>
                <w:szCs w:val="24"/>
              </w:rPr>
            </w:pPr>
            <w:r>
              <w:rPr>
                <w:rFonts w:ascii="宋体" w:hAnsi="宋体" w:eastAsia="宋体" w:cs="宋体"/>
                <w:color w:val="auto"/>
                <w:spacing w:val="-5"/>
                <w:sz w:val="24"/>
                <w:szCs w:val="24"/>
              </w:rPr>
              <w:t>3.5.3</w:t>
            </w:r>
          </w:p>
        </w:tc>
        <w:tc>
          <w:tcPr>
            <w:tcW w:w="1515" w:type="dxa"/>
            <w:vAlign w:val="center"/>
          </w:tcPr>
          <w:p w14:paraId="5FF0347D">
            <w:pPr>
              <w:spacing w:before="69" w:line="360" w:lineRule="auto"/>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响应文件签字或盖章要求</w:t>
            </w:r>
          </w:p>
        </w:tc>
        <w:tc>
          <w:tcPr>
            <w:tcW w:w="6271" w:type="dxa"/>
            <w:vAlign w:val="center"/>
          </w:tcPr>
          <w:p w14:paraId="6C1AA232">
            <w:pPr>
              <w:spacing w:line="360" w:lineRule="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响应文件应用不褪色的材料书写或打印，并由投标人的法定代表人或其委托代理人（在磋商文件中要求需要的地方）签字或盖章并加盖单位公章。委托代理人签字或盖章的，响应文件应附法定代表人签署的授权委托书。响应文件不允许涂改、行间插字或删除,如果出现上述情况，改动之处应加盖单位章或由投标人的法定代表人或其授权的代理人签字确认。</w:t>
            </w:r>
          </w:p>
        </w:tc>
      </w:tr>
      <w:tr w14:paraId="66625C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20FF175A">
            <w:pPr>
              <w:spacing w:before="68" w:line="360" w:lineRule="auto"/>
              <w:ind w:left="117"/>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3.5.4</w:t>
            </w:r>
          </w:p>
        </w:tc>
        <w:tc>
          <w:tcPr>
            <w:tcW w:w="1515" w:type="dxa"/>
            <w:vAlign w:val="center"/>
          </w:tcPr>
          <w:p w14:paraId="4776C839">
            <w:pPr>
              <w:spacing w:before="68" w:line="360" w:lineRule="auto"/>
              <w:jc w:val="center"/>
              <w:rPr>
                <w:rFonts w:ascii="宋体" w:hAnsi="宋体" w:eastAsia="宋体" w:cs="宋体"/>
                <w:color w:val="auto"/>
                <w:spacing w:val="-5"/>
                <w:sz w:val="24"/>
                <w:szCs w:val="24"/>
                <w:lang w:eastAsia="zh-CN"/>
              </w:rPr>
            </w:pPr>
            <w:r>
              <w:rPr>
                <w:rFonts w:hint="eastAsia" w:ascii="宋体" w:hAnsi="宋体" w:eastAsia="宋体" w:cs="宋体"/>
                <w:color w:val="auto"/>
                <w:sz w:val="24"/>
                <w:szCs w:val="24"/>
                <w:lang w:eastAsia="zh-CN"/>
              </w:rPr>
              <w:t>自主磋商响应文件份数</w:t>
            </w:r>
          </w:p>
        </w:tc>
        <w:tc>
          <w:tcPr>
            <w:tcW w:w="6271" w:type="dxa"/>
            <w:vAlign w:val="center"/>
          </w:tcPr>
          <w:p w14:paraId="6B00C5B9">
            <w:pPr>
              <w:kinsoku/>
              <w:autoSpaceDE/>
              <w:autoSpaceDN/>
              <w:adjustRightInd/>
              <w:snapToGrid/>
              <w:spacing w:line="360" w:lineRule="auto"/>
              <w:textAlignment w:val="auto"/>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响应文件份数：正本壹份，副本</w:t>
            </w:r>
            <w:r>
              <w:rPr>
                <w:rFonts w:hint="eastAsia" w:ascii="宋体" w:hAnsi="宋体" w:eastAsia="宋体" w:cs="宋体"/>
                <w:b/>
                <w:snapToGrid/>
                <w:color w:val="auto"/>
                <w:sz w:val="24"/>
                <w:szCs w:val="24"/>
                <w:lang w:val="en-US" w:eastAsia="zh-CN"/>
              </w:rPr>
              <w:t>贰</w:t>
            </w:r>
            <w:r>
              <w:rPr>
                <w:rFonts w:hint="eastAsia" w:ascii="宋体" w:hAnsi="宋体" w:eastAsia="宋体" w:cs="宋体"/>
                <w:b/>
                <w:snapToGrid/>
                <w:color w:val="auto"/>
                <w:sz w:val="24"/>
                <w:szCs w:val="24"/>
                <w:lang w:eastAsia="zh-CN"/>
              </w:rPr>
              <w:t>份，</w:t>
            </w:r>
          </w:p>
        </w:tc>
      </w:tr>
      <w:tr w14:paraId="761A79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644CD991">
            <w:pPr>
              <w:spacing w:before="68" w:line="360" w:lineRule="auto"/>
              <w:ind w:left="117"/>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3.5.5</w:t>
            </w:r>
          </w:p>
        </w:tc>
        <w:tc>
          <w:tcPr>
            <w:tcW w:w="1515" w:type="dxa"/>
            <w:vAlign w:val="center"/>
          </w:tcPr>
          <w:p w14:paraId="29B144E8">
            <w:pPr>
              <w:jc w:val="center"/>
              <w:rPr>
                <w:rFonts w:ascii="宋体" w:hAnsi="宋体" w:cs="宋体"/>
                <w:color w:val="auto"/>
                <w:sz w:val="24"/>
              </w:rPr>
            </w:pPr>
            <w:r>
              <w:rPr>
                <w:rFonts w:hint="eastAsia" w:ascii="宋体" w:hAnsi="宋体"/>
                <w:color w:val="auto"/>
                <w:sz w:val="24"/>
              </w:rPr>
              <w:t>装订要求</w:t>
            </w:r>
          </w:p>
        </w:tc>
        <w:tc>
          <w:tcPr>
            <w:tcW w:w="6271" w:type="dxa"/>
            <w:vAlign w:val="center"/>
          </w:tcPr>
          <w:p w14:paraId="34C51CD6">
            <w:pPr>
              <w:spacing w:line="400" w:lineRule="exact"/>
              <w:rPr>
                <w:rFonts w:ascii="宋体" w:hAnsi="宋体" w:cs="宋体"/>
                <w:color w:val="auto"/>
                <w:sz w:val="24"/>
                <w:lang w:eastAsia="zh-CN"/>
              </w:rPr>
            </w:pPr>
            <w:r>
              <w:rPr>
                <w:rFonts w:hint="eastAsia" w:ascii="宋体" w:hAnsi="宋体" w:cs="宋体"/>
                <w:color w:val="auto"/>
                <w:sz w:val="24"/>
                <w:lang w:eastAsia="zh-CN"/>
              </w:rPr>
              <w:t>响应文件的正本、副本应分别装订成册，要求采用胶粘方式装订，装订应牢固、不易拆散和换页，不得采用活页装订。纸质版文件书脊上需打印项目名称及投标单位名称。</w:t>
            </w:r>
          </w:p>
        </w:tc>
      </w:tr>
      <w:tr w14:paraId="65CA83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1" w:hRule="atLeast"/>
          <w:jc w:val="center"/>
        </w:trPr>
        <w:tc>
          <w:tcPr>
            <w:tcW w:w="926" w:type="dxa"/>
            <w:vAlign w:val="center"/>
          </w:tcPr>
          <w:p w14:paraId="41FD0541">
            <w:pPr>
              <w:spacing w:before="68" w:line="360" w:lineRule="auto"/>
              <w:ind w:left="117"/>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3.5.6</w:t>
            </w:r>
          </w:p>
        </w:tc>
        <w:tc>
          <w:tcPr>
            <w:tcW w:w="1515" w:type="dxa"/>
            <w:vAlign w:val="center"/>
          </w:tcPr>
          <w:p w14:paraId="174ADFAB">
            <w:pPr>
              <w:jc w:val="center"/>
              <w:rPr>
                <w:rFonts w:ascii="宋体" w:hAnsi="宋体" w:cs="宋体"/>
                <w:color w:val="auto"/>
                <w:sz w:val="24"/>
              </w:rPr>
            </w:pPr>
            <w:r>
              <w:rPr>
                <w:rFonts w:hint="eastAsia" w:ascii="宋体" w:hAnsi="宋体" w:cs="宋体"/>
                <w:color w:val="auto"/>
                <w:sz w:val="24"/>
              </w:rPr>
              <w:t>投标文件的密封</w:t>
            </w:r>
          </w:p>
        </w:tc>
        <w:tc>
          <w:tcPr>
            <w:tcW w:w="6271" w:type="dxa"/>
            <w:vAlign w:val="center"/>
          </w:tcPr>
          <w:p w14:paraId="1706682F">
            <w:pPr>
              <w:rPr>
                <w:rFonts w:ascii="宋体" w:hAnsi="宋体" w:cs="宋体"/>
                <w:color w:val="auto"/>
                <w:sz w:val="24"/>
                <w:lang w:eastAsia="zh-CN"/>
              </w:rPr>
            </w:pPr>
            <w:r>
              <w:rPr>
                <w:rFonts w:hint="eastAsia" w:ascii="宋体" w:hAnsi="宋体" w:cs="宋体"/>
                <w:color w:val="auto"/>
                <w:sz w:val="24"/>
                <w:lang w:eastAsia="zh-CN"/>
              </w:rPr>
              <w:t>响应文件的正本和所有的副本统一装在一个不透明密封袋中，电子文本需单独密封，加贴封条，并在封套的封口处加盖供应商单位公章。</w:t>
            </w:r>
          </w:p>
          <w:p w14:paraId="5B5D5DFC">
            <w:pPr>
              <w:rPr>
                <w:rFonts w:ascii="宋体" w:hAnsi="宋体" w:cs="宋体"/>
                <w:color w:val="auto"/>
                <w:sz w:val="24"/>
                <w:lang w:eastAsia="zh-CN"/>
              </w:rPr>
            </w:pPr>
            <w:r>
              <w:rPr>
                <w:rFonts w:hint="eastAsia" w:ascii="宋体" w:hAnsi="宋体" w:cs="宋体"/>
                <w:color w:val="auto"/>
                <w:sz w:val="24"/>
                <w:lang w:eastAsia="zh-CN"/>
              </w:rPr>
              <w:t>封套上写明：</w:t>
            </w:r>
          </w:p>
          <w:p w14:paraId="103282EB">
            <w:pPr>
              <w:rPr>
                <w:rFonts w:ascii="宋体" w:hAnsi="宋体" w:cs="宋体"/>
                <w:color w:val="auto"/>
                <w:sz w:val="24"/>
                <w:lang w:eastAsia="zh-CN"/>
              </w:rPr>
            </w:pPr>
            <w:r>
              <w:rPr>
                <w:rFonts w:hint="eastAsia" w:ascii="宋体" w:hAnsi="宋体" w:cs="宋体"/>
                <w:color w:val="auto"/>
                <w:sz w:val="24"/>
                <w:u w:val="single"/>
                <w:lang w:eastAsia="zh-CN"/>
              </w:rPr>
              <w:t xml:space="preserve">               </w:t>
            </w:r>
            <w:r>
              <w:rPr>
                <w:rFonts w:hint="eastAsia" w:ascii="宋体" w:hAnsi="宋体" w:cs="宋体"/>
                <w:color w:val="auto"/>
                <w:sz w:val="24"/>
                <w:lang w:eastAsia="zh-CN"/>
              </w:rPr>
              <w:t>（项目名称）响应文件</w:t>
            </w:r>
          </w:p>
          <w:p w14:paraId="0D92DD00">
            <w:pPr>
              <w:rPr>
                <w:rFonts w:ascii="宋体" w:hAnsi="宋体" w:cs="宋体"/>
                <w:color w:val="auto"/>
                <w:sz w:val="24"/>
                <w:lang w:eastAsia="zh-CN"/>
              </w:rPr>
            </w:pPr>
            <w:r>
              <w:rPr>
                <w:rFonts w:hint="eastAsia" w:ascii="宋体" w:hAnsi="宋体" w:cs="宋体"/>
                <w:color w:val="auto"/>
                <w:sz w:val="24"/>
                <w:lang w:eastAsia="zh-CN"/>
              </w:rPr>
              <w:t>项目编号：</w:t>
            </w:r>
          </w:p>
          <w:p w14:paraId="1946EC91">
            <w:pPr>
              <w:rPr>
                <w:rFonts w:ascii="宋体" w:hAnsi="宋体" w:cs="宋体"/>
                <w:color w:val="auto"/>
                <w:sz w:val="24"/>
                <w:lang w:eastAsia="zh-CN"/>
              </w:rPr>
            </w:pPr>
            <w:r>
              <w:rPr>
                <w:rFonts w:hint="eastAsia" w:ascii="宋体" w:hAnsi="宋体" w:cs="宋体"/>
                <w:color w:val="auto"/>
                <w:sz w:val="24"/>
                <w:lang w:val="zh-CN" w:eastAsia="zh-CN"/>
              </w:rPr>
              <w:t>投标人</w:t>
            </w:r>
            <w:r>
              <w:rPr>
                <w:rFonts w:hint="eastAsia" w:ascii="宋体" w:hAnsi="宋体" w:cs="宋体"/>
                <w:color w:val="auto"/>
                <w:sz w:val="24"/>
                <w:lang w:eastAsia="zh-CN"/>
              </w:rPr>
              <w:t>名称：</w:t>
            </w:r>
          </w:p>
          <w:p w14:paraId="650EB978">
            <w:pPr>
              <w:rPr>
                <w:rFonts w:ascii="宋体" w:hAnsi="宋体" w:cs="宋体"/>
                <w:color w:val="auto"/>
                <w:sz w:val="24"/>
                <w:lang w:val="zh-CN" w:eastAsia="zh-CN"/>
              </w:rPr>
            </w:pPr>
            <w:r>
              <w:rPr>
                <w:rFonts w:hint="eastAsia" w:ascii="宋体" w:hAnsi="宋体" w:cs="宋体"/>
                <w:color w:val="auto"/>
                <w:sz w:val="24"/>
                <w:lang w:val="zh-CN" w:eastAsia="zh-CN"/>
              </w:rPr>
              <w:t>投标人地址：</w:t>
            </w:r>
          </w:p>
          <w:p w14:paraId="40EA000D">
            <w:pPr>
              <w:rPr>
                <w:rFonts w:ascii="宋体" w:hAnsi="宋体" w:cs="宋体"/>
                <w:color w:val="auto"/>
                <w:sz w:val="24"/>
                <w:lang w:eastAsia="zh-CN"/>
              </w:rPr>
            </w:pPr>
            <w:r>
              <w:rPr>
                <w:rFonts w:hint="eastAsia" w:ascii="宋体" w:hAnsi="宋体" w:cs="宋体"/>
                <w:color w:val="auto"/>
                <w:sz w:val="24"/>
                <w:lang w:val="zh-CN" w:eastAsia="zh-CN"/>
              </w:rPr>
              <w:t>投标人电话：</w:t>
            </w:r>
          </w:p>
          <w:p w14:paraId="38764643">
            <w:pPr>
              <w:spacing w:line="440" w:lineRule="exact"/>
              <w:rPr>
                <w:rFonts w:ascii="宋体" w:hAnsi="宋体" w:cs="宋体"/>
                <w:color w:val="auto"/>
                <w:sz w:val="24"/>
                <w:lang w:eastAsia="zh-CN"/>
              </w:rPr>
            </w:pPr>
            <w:r>
              <w:rPr>
                <w:rFonts w:hint="eastAsia" w:ascii="宋体" w:hAnsi="宋体" w:cs="宋体"/>
                <w:color w:val="auto"/>
                <w:sz w:val="24"/>
                <w:lang w:eastAsia="zh-CN"/>
              </w:rPr>
              <w:t>于  年  月   日    时  分前不得开启</w:t>
            </w:r>
          </w:p>
        </w:tc>
      </w:tr>
      <w:tr w14:paraId="526FB5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0" w:hRule="atLeast"/>
          <w:jc w:val="center"/>
        </w:trPr>
        <w:tc>
          <w:tcPr>
            <w:tcW w:w="926" w:type="dxa"/>
            <w:vAlign w:val="center"/>
          </w:tcPr>
          <w:p w14:paraId="7E353CBA">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4.2.1</w:t>
            </w:r>
          </w:p>
        </w:tc>
        <w:tc>
          <w:tcPr>
            <w:tcW w:w="1515" w:type="dxa"/>
            <w:vAlign w:val="center"/>
          </w:tcPr>
          <w:p w14:paraId="4C8CA980">
            <w:pPr>
              <w:spacing w:line="360" w:lineRule="auto"/>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提交首次响应文件截止时间</w:t>
            </w:r>
            <w:r>
              <w:rPr>
                <w:rFonts w:hint="eastAsia" w:ascii="宋体" w:hAnsi="宋体" w:cs="宋体"/>
                <w:color w:val="auto"/>
                <w:sz w:val="24"/>
                <w:lang w:eastAsia="zh-CN"/>
              </w:rPr>
              <w:t>及地点</w:t>
            </w:r>
          </w:p>
        </w:tc>
        <w:tc>
          <w:tcPr>
            <w:tcW w:w="6271" w:type="dxa"/>
            <w:vAlign w:val="center"/>
          </w:tcPr>
          <w:p w14:paraId="37F158B6">
            <w:pPr>
              <w:rPr>
                <w:rFonts w:hint="eastAsia" w:ascii="宋体" w:hAnsi="宋体" w:cs="宋体"/>
                <w:color w:val="auto"/>
                <w:sz w:val="24"/>
                <w:lang w:eastAsia="zh-CN"/>
              </w:rPr>
            </w:pPr>
            <w:r>
              <w:rPr>
                <w:rFonts w:hint="eastAsia" w:ascii="宋体" w:hAnsi="宋体" w:cs="宋体"/>
                <w:color w:val="auto"/>
                <w:sz w:val="24"/>
                <w:lang w:eastAsia="zh-CN"/>
              </w:rPr>
              <w:t>磋商截止时间：</w:t>
            </w:r>
            <w:r>
              <w:rPr>
                <w:rFonts w:hint="eastAsia" w:ascii="宋体" w:hAnsi="宋体" w:cs="宋体"/>
                <w:color w:val="auto"/>
                <w:sz w:val="24"/>
                <w:lang w:val="en-US" w:eastAsia="zh-CN"/>
              </w:rPr>
              <w:t xml:space="preserve"> </w:t>
            </w:r>
            <w:r>
              <w:rPr>
                <w:rFonts w:hint="eastAsia" w:ascii="宋体" w:hAnsi="宋体" w:cs="宋体"/>
                <w:color w:val="auto"/>
                <w:sz w:val="24"/>
                <w:lang w:eastAsia="zh-CN"/>
              </w:rPr>
              <w:t>年</w:t>
            </w:r>
            <w:r>
              <w:rPr>
                <w:rFonts w:hint="eastAsia" w:ascii="宋体" w:hAnsi="宋体" w:cs="宋体"/>
                <w:color w:val="auto"/>
                <w:sz w:val="24"/>
                <w:lang w:val="en-US" w:eastAsia="zh-CN"/>
              </w:rPr>
              <w:t xml:space="preserve"> </w:t>
            </w:r>
            <w:r>
              <w:rPr>
                <w:rFonts w:hint="eastAsia" w:ascii="宋体" w:hAnsi="宋体" w:cs="宋体"/>
                <w:color w:val="auto"/>
                <w:sz w:val="24"/>
                <w:lang w:eastAsia="zh-CN"/>
              </w:rPr>
              <w:t>月</w:t>
            </w:r>
            <w:r>
              <w:rPr>
                <w:rFonts w:hint="eastAsia" w:ascii="宋体" w:hAnsi="宋体" w:cs="宋体"/>
                <w:color w:val="auto"/>
                <w:sz w:val="24"/>
                <w:lang w:val="en-US" w:eastAsia="zh-CN"/>
              </w:rPr>
              <w:t xml:space="preserve"> </w:t>
            </w:r>
            <w:r>
              <w:rPr>
                <w:rFonts w:hint="eastAsia" w:ascii="宋体" w:hAnsi="宋体" w:cs="宋体"/>
                <w:color w:val="auto"/>
                <w:sz w:val="24"/>
                <w:lang w:eastAsia="zh-CN"/>
              </w:rPr>
              <w:t>日</w:t>
            </w:r>
            <w:r>
              <w:rPr>
                <w:rFonts w:hint="eastAsia" w:ascii="宋体" w:hAnsi="宋体" w:cs="宋体"/>
                <w:color w:val="auto"/>
                <w:sz w:val="24"/>
                <w:lang w:val="en-US" w:eastAsia="zh-CN"/>
              </w:rPr>
              <w:t xml:space="preserve"> </w:t>
            </w:r>
            <w:r>
              <w:rPr>
                <w:rFonts w:hint="eastAsia" w:ascii="宋体" w:hAnsi="宋体" w:cs="宋体"/>
                <w:color w:val="auto"/>
                <w:sz w:val="24"/>
                <w:lang w:eastAsia="zh-CN"/>
              </w:rPr>
              <w:t>时</w:t>
            </w:r>
            <w:r>
              <w:rPr>
                <w:rFonts w:hint="eastAsia" w:ascii="宋体" w:hAnsi="宋体" w:cs="宋体"/>
                <w:color w:val="auto"/>
                <w:sz w:val="24"/>
                <w:lang w:val="en-US" w:eastAsia="zh-CN"/>
              </w:rPr>
              <w:t xml:space="preserve"> </w:t>
            </w:r>
            <w:r>
              <w:rPr>
                <w:rFonts w:hint="eastAsia" w:ascii="宋体" w:hAnsi="宋体" w:cs="宋体"/>
                <w:color w:val="auto"/>
                <w:sz w:val="24"/>
                <w:lang w:eastAsia="zh-CN"/>
              </w:rPr>
              <w:t>分（北京时间）</w:t>
            </w:r>
          </w:p>
          <w:p w14:paraId="4C2EFA4B">
            <w:pPr>
              <w:rPr>
                <w:rFonts w:ascii="宋体" w:hAnsi="宋体" w:eastAsia="宋体" w:cs="宋体"/>
                <w:color w:val="auto"/>
                <w:spacing w:val="-5"/>
                <w:sz w:val="24"/>
                <w:szCs w:val="24"/>
                <w:lang w:eastAsia="zh-CN"/>
              </w:rPr>
            </w:pPr>
            <w:r>
              <w:rPr>
                <w:rFonts w:hint="eastAsia" w:ascii="宋体" w:hAnsi="宋体" w:cs="宋体"/>
                <w:color w:val="auto"/>
                <w:sz w:val="24"/>
                <w:lang w:eastAsia="zh-CN"/>
              </w:rPr>
              <w:t>磋商地点：</w:t>
            </w:r>
          </w:p>
        </w:tc>
      </w:tr>
      <w:tr w14:paraId="12AE5D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46B2A4AE">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4.2.3</w:t>
            </w:r>
          </w:p>
        </w:tc>
        <w:tc>
          <w:tcPr>
            <w:tcW w:w="1515" w:type="dxa"/>
            <w:vAlign w:val="center"/>
          </w:tcPr>
          <w:p w14:paraId="2BD92FA2">
            <w:pPr>
              <w:spacing w:line="360" w:lineRule="auto"/>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是否退还磋商响应文件</w:t>
            </w:r>
          </w:p>
        </w:tc>
        <w:tc>
          <w:tcPr>
            <w:tcW w:w="6271" w:type="dxa"/>
            <w:vAlign w:val="center"/>
          </w:tcPr>
          <w:p w14:paraId="352D36D6">
            <w:pPr>
              <w:spacing w:line="360" w:lineRule="auto"/>
              <w:jc w:val="both"/>
              <w:rPr>
                <w:rFonts w:ascii="宋体" w:hAnsi="宋体" w:eastAsia="宋体" w:cs="宋体"/>
                <w:color w:val="auto"/>
                <w:spacing w:val="-5"/>
                <w:sz w:val="24"/>
                <w:szCs w:val="24"/>
              </w:rPr>
            </w:pPr>
            <w:r>
              <w:rPr>
                <w:rFonts w:hint="eastAsia" w:ascii="宋体" w:hAnsi="宋体" w:eastAsia="宋体" w:cs="宋体"/>
                <w:color w:val="auto"/>
                <w:spacing w:val="-5"/>
                <w:sz w:val="24"/>
                <w:szCs w:val="24"/>
              </w:rPr>
              <w:t>否</w:t>
            </w:r>
          </w:p>
        </w:tc>
      </w:tr>
      <w:tr w14:paraId="0B8086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3" w:hRule="atLeast"/>
          <w:jc w:val="center"/>
        </w:trPr>
        <w:tc>
          <w:tcPr>
            <w:tcW w:w="926" w:type="dxa"/>
            <w:vAlign w:val="center"/>
          </w:tcPr>
          <w:p w14:paraId="451224C5">
            <w:pPr>
              <w:spacing w:before="68" w:line="360" w:lineRule="auto"/>
              <w:ind w:left="117"/>
              <w:jc w:val="center"/>
              <w:rPr>
                <w:rFonts w:ascii="宋体" w:hAnsi="宋体" w:eastAsia="宋体" w:cs="宋体"/>
                <w:color w:val="auto"/>
                <w:spacing w:val="-5"/>
                <w:sz w:val="24"/>
                <w:szCs w:val="24"/>
              </w:rPr>
            </w:pPr>
            <w:r>
              <w:rPr>
                <w:rFonts w:ascii="宋体" w:hAnsi="宋体" w:eastAsia="宋体" w:cs="宋体"/>
                <w:color w:val="auto"/>
                <w:spacing w:val="-5"/>
                <w:sz w:val="24"/>
                <w:szCs w:val="24"/>
              </w:rPr>
              <w:t>5.3.1</w:t>
            </w:r>
          </w:p>
        </w:tc>
        <w:tc>
          <w:tcPr>
            <w:tcW w:w="1515" w:type="dxa"/>
            <w:vAlign w:val="center"/>
          </w:tcPr>
          <w:p w14:paraId="6B388D3C">
            <w:pPr>
              <w:spacing w:before="69"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磋商小组的组建</w:t>
            </w:r>
          </w:p>
        </w:tc>
        <w:tc>
          <w:tcPr>
            <w:tcW w:w="6271" w:type="dxa"/>
            <w:vAlign w:val="center"/>
          </w:tcPr>
          <w:p w14:paraId="4856E50E">
            <w:pPr>
              <w:spacing w:before="131" w:line="360" w:lineRule="auto"/>
              <w:ind w:right="107"/>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磋商小组成员人数为</w:t>
            </w:r>
            <w:r>
              <w:rPr>
                <w:rFonts w:ascii="宋体" w:hAnsi="宋体" w:eastAsia="宋体" w:cs="宋体"/>
                <w:color w:val="auto"/>
                <w:spacing w:val="-5"/>
                <w:sz w:val="24"/>
                <w:szCs w:val="24"/>
                <w:lang w:eastAsia="zh-CN"/>
              </w:rPr>
              <w:t xml:space="preserve"> 3</w:t>
            </w:r>
            <w:r>
              <w:rPr>
                <w:rFonts w:hint="eastAsia" w:ascii="宋体" w:hAnsi="宋体" w:eastAsia="宋体" w:cs="宋体"/>
                <w:color w:val="auto"/>
                <w:spacing w:val="-5"/>
                <w:sz w:val="24"/>
                <w:szCs w:val="24"/>
                <w:lang w:eastAsia="zh-CN"/>
              </w:rPr>
              <w:t>人以上单数，从相关评审专家库中，通过随机方式抽取。</w:t>
            </w:r>
          </w:p>
        </w:tc>
      </w:tr>
      <w:tr w14:paraId="12D15E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0EFB5B55">
            <w:pPr>
              <w:spacing w:before="68" w:line="360" w:lineRule="auto"/>
              <w:ind w:left="117"/>
              <w:jc w:val="center"/>
              <w:rPr>
                <w:rFonts w:ascii="宋体" w:hAnsi="宋体" w:eastAsia="宋体" w:cs="宋体"/>
                <w:color w:val="auto"/>
                <w:spacing w:val="-5"/>
                <w:sz w:val="24"/>
                <w:szCs w:val="24"/>
              </w:rPr>
            </w:pPr>
            <w:r>
              <w:rPr>
                <w:rFonts w:ascii="宋体" w:hAnsi="宋体" w:eastAsia="宋体" w:cs="宋体"/>
                <w:color w:val="auto"/>
                <w:spacing w:val="-5"/>
                <w:sz w:val="24"/>
                <w:szCs w:val="24"/>
              </w:rPr>
              <w:t>5.3.3</w:t>
            </w:r>
          </w:p>
        </w:tc>
        <w:tc>
          <w:tcPr>
            <w:tcW w:w="1515" w:type="dxa"/>
            <w:vAlign w:val="center"/>
          </w:tcPr>
          <w:p w14:paraId="34620B47">
            <w:pPr>
              <w:spacing w:before="132" w:line="360" w:lineRule="auto"/>
              <w:ind w:left="125"/>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是否授权磋商小组确定成交人</w:t>
            </w:r>
          </w:p>
        </w:tc>
        <w:tc>
          <w:tcPr>
            <w:tcW w:w="6271" w:type="dxa"/>
            <w:vAlign w:val="center"/>
          </w:tcPr>
          <w:p w14:paraId="5B031C9D">
            <w:pPr>
              <w:spacing w:before="69" w:line="360" w:lineRule="auto"/>
              <w:ind w:left="120"/>
              <w:jc w:val="both"/>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否，推荐的成交候选人数：</w:t>
            </w:r>
            <w:r>
              <w:rPr>
                <w:rFonts w:ascii="宋体" w:hAnsi="宋体" w:eastAsia="宋体" w:cs="宋体"/>
                <w:color w:val="auto"/>
                <w:spacing w:val="-5"/>
                <w:sz w:val="24"/>
                <w:szCs w:val="24"/>
                <w:lang w:eastAsia="zh-CN"/>
              </w:rPr>
              <w:t>3</w:t>
            </w:r>
            <w:r>
              <w:rPr>
                <w:rFonts w:hint="eastAsia" w:ascii="宋体" w:hAnsi="宋体" w:eastAsia="宋体" w:cs="宋体"/>
                <w:color w:val="auto"/>
                <w:spacing w:val="-5"/>
                <w:sz w:val="24"/>
                <w:szCs w:val="24"/>
                <w:lang w:eastAsia="zh-CN"/>
              </w:rPr>
              <w:t>名</w:t>
            </w:r>
          </w:p>
        </w:tc>
      </w:tr>
      <w:tr w14:paraId="7EE60A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0FD4E4BE">
            <w:pPr>
              <w:spacing w:line="360" w:lineRule="auto"/>
              <w:jc w:val="center"/>
              <w:rPr>
                <w:rFonts w:ascii="宋体" w:hAnsi="宋体" w:eastAsia="宋体" w:cs="宋体"/>
                <w:color w:val="auto"/>
                <w:spacing w:val="-5"/>
                <w:sz w:val="24"/>
                <w:szCs w:val="24"/>
              </w:rPr>
            </w:pPr>
            <w:r>
              <w:rPr>
                <w:rFonts w:ascii="宋体" w:hAnsi="宋体" w:eastAsia="宋体" w:cs="宋体"/>
                <w:color w:val="auto"/>
                <w:spacing w:val="-5"/>
                <w:sz w:val="24"/>
                <w:szCs w:val="24"/>
              </w:rPr>
              <w:t>5.9</w:t>
            </w:r>
          </w:p>
        </w:tc>
        <w:tc>
          <w:tcPr>
            <w:tcW w:w="1515" w:type="dxa"/>
            <w:vAlign w:val="center"/>
          </w:tcPr>
          <w:p w14:paraId="20667366">
            <w:pPr>
              <w:spacing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履约保证金</w:t>
            </w:r>
          </w:p>
        </w:tc>
        <w:tc>
          <w:tcPr>
            <w:tcW w:w="6271" w:type="dxa"/>
            <w:vAlign w:val="center"/>
          </w:tcPr>
          <w:p w14:paraId="4947003C">
            <w:pPr>
              <w:jc w:val="left"/>
              <w:rPr>
                <w:rFonts w:hint="eastAsia" w:ascii="宋体" w:hAnsi="宋体" w:eastAsia="宋体" w:cs="宋体"/>
                <w:color w:val="auto"/>
                <w:sz w:val="24"/>
              </w:rPr>
            </w:pPr>
            <w:r>
              <w:rPr>
                <w:rFonts w:hint="eastAsia" w:ascii="宋体" w:hAnsi="宋体" w:eastAsia="宋体" w:cs="宋体"/>
                <w:color w:val="auto"/>
                <w:sz w:val="24"/>
              </w:rPr>
              <w:t>履约</w:t>
            </w:r>
            <w:r>
              <w:rPr>
                <w:rFonts w:hint="eastAsia" w:ascii="宋体" w:hAnsi="宋体" w:eastAsia="宋体" w:cs="宋体"/>
                <w:color w:val="auto"/>
                <w:sz w:val="24"/>
                <w:lang w:eastAsia="zh-CN"/>
              </w:rPr>
              <w:t>保证金</w:t>
            </w:r>
            <w:r>
              <w:rPr>
                <w:rFonts w:hint="eastAsia" w:ascii="宋体" w:hAnsi="宋体" w:eastAsia="宋体" w:cs="宋体"/>
                <w:color w:val="auto"/>
                <w:sz w:val="24"/>
              </w:rPr>
              <w:t>缴纳</w:t>
            </w:r>
            <w:r>
              <w:rPr>
                <w:rFonts w:hint="eastAsia" w:ascii="宋体" w:hAnsi="宋体" w:eastAsia="宋体" w:cs="宋体"/>
                <w:color w:val="auto"/>
                <w:sz w:val="24"/>
                <w:lang w:eastAsia="zh-CN"/>
              </w:rPr>
              <w:t>形式</w:t>
            </w:r>
            <w:r>
              <w:rPr>
                <w:rFonts w:hint="eastAsia" w:ascii="宋体" w:hAnsi="宋体" w:eastAsia="宋体" w:cs="宋体"/>
                <w:color w:val="auto"/>
                <w:sz w:val="24"/>
              </w:rPr>
              <w:t>：由中标（成交）供应商与采购人签订采购合同</w:t>
            </w:r>
            <w:r>
              <w:rPr>
                <w:rFonts w:hint="eastAsia" w:ascii="宋体" w:hAnsi="宋体" w:eastAsia="宋体" w:cs="宋体"/>
                <w:color w:val="auto"/>
                <w:sz w:val="24"/>
                <w:lang w:eastAsia="zh-CN"/>
              </w:rPr>
              <w:t>前</w:t>
            </w:r>
            <w:r>
              <w:rPr>
                <w:rFonts w:hint="eastAsia" w:ascii="宋体" w:hAnsi="宋体" w:eastAsia="宋体" w:cs="宋体"/>
                <w:color w:val="auto"/>
                <w:sz w:val="24"/>
              </w:rPr>
              <w:t>提交</w:t>
            </w:r>
            <w:r>
              <w:rPr>
                <w:rFonts w:hint="eastAsia" w:ascii="宋体" w:hAnsi="宋体" w:eastAsia="宋体" w:cs="宋体"/>
                <w:color w:val="auto"/>
                <w:sz w:val="24"/>
                <w:lang w:eastAsia="zh-CN"/>
              </w:rPr>
              <w:t>，</w:t>
            </w:r>
            <w:r>
              <w:rPr>
                <w:rFonts w:hint="eastAsia" w:ascii="宋体" w:hAnsi="宋体" w:eastAsia="宋体" w:cs="宋体"/>
                <w:color w:val="auto"/>
                <w:sz w:val="24"/>
              </w:rPr>
              <w:t>转账。</w:t>
            </w:r>
          </w:p>
          <w:p w14:paraId="6CFD0BF4">
            <w:pPr>
              <w:jc w:val="left"/>
              <w:rPr>
                <w:rFonts w:hint="eastAsia" w:ascii="宋体" w:hAnsi="宋体" w:eastAsia="宋体" w:cs="宋体"/>
                <w:color w:val="auto"/>
                <w:sz w:val="24"/>
              </w:rPr>
            </w:pPr>
            <w:r>
              <w:rPr>
                <w:rFonts w:hint="eastAsia" w:ascii="宋体" w:hAnsi="宋体" w:eastAsia="宋体" w:cs="宋体"/>
                <w:color w:val="auto"/>
                <w:sz w:val="24"/>
                <w:lang w:val="en-US" w:eastAsia="zh-CN"/>
              </w:rPr>
              <w:t>金额：采购</w:t>
            </w:r>
            <w:r>
              <w:rPr>
                <w:rFonts w:hint="eastAsia" w:ascii="宋体" w:hAnsi="宋体" w:eastAsia="宋体" w:cs="宋体"/>
                <w:color w:val="auto"/>
                <w:sz w:val="24"/>
              </w:rPr>
              <w:t>合同</w:t>
            </w:r>
            <w:r>
              <w:rPr>
                <w:rFonts w:hint="eastAsia" w:ascii="宋体" w:hAnsi="宋体" w:eastAsia="宋体" w:cs="宋体"/>
                <w:color w:val="auto"/>
                <w:sz w:val="24"/>
                <w:lang w:val="en-US" w:eastAsia="zh-CN"/>
              </w:rPr>
              <w:t>总价款</w:t>
            </w:r>
            <w:r>
              <w:rPr>
                <w:rFonts w:hint="eastAsia" w:ascii="宋体" w:hAnsi="宋体" w:eastAsia="宋体" w:cs="宋体"/>
                <w:color w:val="auto"/>
                <w:sz w:val="24"/>
              </w:rPr>
              <w:t>的</w:t>
            </w:r>
            <w:r>
              <w:rPr>
                <w:rFonts w:hint="eastAsia" w:ascii="宋体" w:hAnsi="宋体" w:eastAsia="宋体" w:cs="宋体"/>
                <w:color w:val="auto"/>
                <w:sz w:val="24"/>
                <w:lang w:val="en-US" w:eastAsia="zh-CN"/>
              </w:rPr>
              <w:t>5</w:t>
            </w:r>
            <w:r>
              <w:rPr>
                <w:rFonts w:hint="eastAsia" w:ascii="宋体" w:hAnsi="宋体" w:eastAsia="宋体" w:cs="宋体"/>
                <w:color w:val="auto"/>
                <w:sz w:val="24"/>
              </w:rPr>
              <w:t>%。</w:t>
            </w:r>
          </w:p>
          <w:p w14:paraId="75FA3929">
            <w:pPr>
              <w:jc w:val="left"/>
              <w:rPr>
                <w:rFonts w:hint="eastAsia" w:ascii="宋体" w:hAnsi="宋体" w:eastAsia="宋体" w:cs="宋体"/>
                <w:color w:val="auto"/>
                <w:sz w:val="24"/>
              </w:rPr>
            </w:pPr>
            <w:r>
              <w:rPr>
                <w:rFonts w:hint="eastAsia" w:ascii="宋体" w:hAnsi="宋体" w:eastAsia="宋体" w:cs="宋体"/>
                <w:color w:val="auto"/>
                <w:sz w:val="24"/>
              </w:rPr>
              <w:t>缴纳时间：</w:t>
            </w:r>
            <w:r>
              <w:rPr>
                <w:rFonts w:hint="eastAsia" w:ascii="宋体" w:hAnsi="宋体" w:eastAsia="宋体" w:cs="宋体"/>
                <w:color w:val="auto"/>
                <w:sz w:val="24"/>
                <w:lang w:eastAsia="zh-CN"/>
              </w:rPr>
              <w:t>签订合同前</w:t>
            </w:r>
            <w:r>
              <w:rPr>
                <w:rFonts w:hint="eastAsia" w:ascii="宋体" w:hAnsi="宋体" w:eastAsia="宋体" w:cs="宋体"/>
                <w:color w:val="auto"/>
                <w:sz w:val="24"/>
              </w:rPr>
              <w:t>由</w:t>
            </w:r>
            <w:r>
              <w:rPr>
                <w:rFonts w:hint="eastAsia" w:ascii="宋体" w:hAnsi="宋体" w:eastAsia="宋体" w:cs="宋体"/>
                <w:color w:val="auto"/>
                <w:sz w:val="24"/>
                <w:lang w:eastAsia="zh-CN"/>
              </w:rPr>
              <w:t>中标</w:t>
            </w:r>
            <w:r>
              <w:rPr>
                <w:rFonts w:hint="eastAsia" w:ascii="宋体" w:hAnsi="宋体" w:eastAsia="宋体" w:cs="宋体"/>
                <w:color w:val="auto"/>
                <w:sz w:val="24"/>
              </w:rPr>
              <w:t>单位基本账户递交至</w:t>
            </w:r>
            <w:r>
              <w:rPr>
                <w:rFonts w:hint="eastAsia" w:ascii="宋体" w:hAnsi="宋体" w:eastAsia="宋体" w:cs="宋体"/>
                <w:color w:val="auto"/>
                <w:sz w:val="24"/>
                <w:lang w:eastAsia="zh-CN"/>
              </w:rPr>
              <w:t>采购</w:t>
            </w:r>
            <w:r>
              <w:rPr>
                <w:rFonts w:hint="eastAsia" w:ascii="宋体" w:hAnsi="宋体" w:eastAsia="宋体" w:cs="宋体"/>
                <w:color w:val="auto"/>
                <w:sz w:val="24"/>
              </w:rPr>
              <w:t>人指定账户。</w:t>
            </w:r>
          </w:p>
          <w:p w14:paraId="2AA2256E">
            <w:pPr>
              <w:jc w:val="left"/>
              <w:rPr>
                <w:rFonts w:hint="eastAsia" w:ascii="宋体" w:hAnsi="宋体" w:eastAsia="宋体" w:cs="宋体"/>
                <w:color w:val="auto"/>
                <w:sz w:val="24"/>
              </w:rPr>
            </w:pPr>
            <w:r>
              <w:rPr>
                <w:rFonts w:hint="eastAsia" w:ascii="宋体" w:hAnsi="宋体" w:eastAsia="宋体" w:cs="宋体"/>
                <w:color w:val="auto"/>
                <w:sz w:val="24"/>
              </w:rPr>
              <w:t>退还方式：</w:t>
            </w:r>
            <w:r>
              <w:rPr>
                <w:rFonts w:hint="eastAsia" w:ascii="宋体" w:hAnsi="宋体" w:eastAsia="宋体" w:cs="宋体"/>
                <w:color w:val="auto"/>
                <w:sz w:val="24"/>
                <w:lang w:eastAsia="zh-CN"/>
              </w:rPr>
              <w:t>质量保证期结束，</w:t>
            </w:r>
            <w:r>
              <w:rPr>
                <w:rFonts w:hint="eastAsia" w:ascii="宋体" w:hAnsi="宋体" w:eastAsia="宋体" w:cs="宋体"/>
                <w:color w:val="auto"/>
                <w:sz w:val="24"/>
              </w:rPr>
              <w:t>待供应商履行完合同约定权利义务事项后</w:t>
            </w:r>
            <w:r>
              <w:rPr>
                <w:rFonts w:hint="eastAsia" w:ascii="宋体" w:hAnsi="宋体" w:eastAsia="宋体" w:cs="宋体"/>
                <w:color w:val="auto"/>
                <w:sz w:val="24"/>
                <w:lang w:eastAsia="zh-CN"/>
              </w:rPr>
              <w:t>，</w:t>
            </w:r>
            <w:r>
              <w:rPr>
                <w:rFonts w:hint="eastAsia" w:ascii="宋体" w:hAnsi="宋体" w:eastAsia="宋体" w:cs="宋体"/>
                <w:color w:val="auto"/>
                <w:sz w:val="24"/>
              </w:rPr>
              <w:t>扣除相关费用（如有）后一次性无息退还。</w:t>
            </w:r>
          </w:p>
          <w:p w14:paraId="33B39830">
            <w:pPr>
              <w:spacing w:line="360" w:lineRule="auto"/>
              <w:rPr>
                <w:rFonts w:hint="eastAsia" w:ascii="宋体" w:hAnsi="宋体" w:eastAsia="宋体" w:cs="宋体"/>
                <w:color w:val="auto"/>
                <w:spacing w:val="-5"/>
                <w:sz w:val="24"/>
                <w:szCs w:val="24"/>
                <w:lang w:eastAsia="zh-CN"/>
              </w:rPr>
            </w:pPr>
            <w:r>
              <w:rPr>
                <w:rFonts w:hint="eastAsia" w:ascii="宋体" w:hAnsi="宋体" w:eastAsia="宋体" w:cs="宋体"/>
                <w:color w:val="auto"/>
                <w:sz w:val="24"/>
              </w:rPr>
              <w:t>注：</w:t>
            </w:r>
            <w:r>
              <w:rPr>
                <w:rFonts w:hint="eastAsia" w:ascii="宋体" w:hAnsi="宋体" w:eastAsia="宋体" w:cs="宋体"/>
                <w:color w:val="auto"/>
                <w:sz w:val="24"/>
                <w:lang w:eastAsia="zh-CN"/>
              </w:rPr>
              <w:t>中标</w:t>
            </w:r>
            <w:r>
              <w:rPr>
                <w:rFonts w:hint="eastAsia" w:ascii="宋体" w:hAnsi="宋体" w:eastAsia="宋体" w:cs="宋体"/>
                <w:color w:val="auto"/>
                <w:sz w:val="24"/>
              </w:rPr>
              <w:t>单位须按要求缴纳履约</w:t>
            </w:r>
            <w:r>
              <w:rPr>
                <w:rFonts w:hint="eastAsia" w:ascii="宋体" w:hAnsi="宋体" w:eastAsia="宋体" w:cs="宋体"/>
                <w:color w:val="auto"/>
                <w:sz w:val="24"/>
                <w:lang w:eastAsia="zh-CN"/>
              </w:rPr>
              <w:t>保证金</w:t>
            </w:r>
            <w:r>
              <w:rPr>
                <w:rFonts w:hint="eastAsia" w:ascii="宋体" w:hAnsi="宋体" w:eastAsia="宋体" w:cs="宋体"/>
                <w:color w:val="auto"/>
                <w:sz w:val="24"/>
              </w:rPr>
              <w:t>，如不能按照要求提交履约</w:t>
            </w:r>
            <w:r>
              <w:rPr>
                <w:rFonts w:hint="eastAsia" w:ascii="宋体" w:hAnsi="宋体" w:eastAsia="宋体" w:cs="宋体"/>
                <w:color w:val="auto"/>
                <w:sz w:val="24"/>
                <w:lang w:eastAsia="zh-CN"/>
              </w:rPr>
              <w:t>保证金</w:t>
            </w:r>
            <w:r>
              <w:rPr>
                <w:rFonts w:hint="eastAsia" w:ascii="宋体" w:hAnsi="宋体" w:eastAsia="宋体" w:cs="宋体"/>
                <w:color w:val="auto"/>
                <w:sz w:val="24"/>
              </w:rPr>
              <w:t>的，视为放弃</w:t>
            </w:r>
            <w:r>
              <w:rPr>
                <w:rFonts w:hint="eastAsia" w:ascii="宋体" w:hAnsi="宋体" w:eastAsia="宋体" w:cs="宋体"/>
                <w:color w:val="auto"/>
                <w:sz w:val="24"/>
                <w:lang w:eastAsia="zh-CN"/>
              </w:rPr>
              <w:t>中标</w:t>
            </w:r>
            <w:r>
              <w:rPr>
                <w:rFonts w:hint="eastAsia" w:ascii="宋体" w:hAnsi="宋体" w:eastAsia="宋体" w:cs="宋体"/>
                <w:color w:val="auto"/>
                <w:sz w:val="24"/>
              </w:rPr>
              <w:t>资格。</w:t>
            </w:r>
          </w:p>
        </w:tc>
      </w:tr>
      <w:tr w14:paraId="582DC9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0DE924D6">
            <w:pPr>
              <w:spacing w:line="360" w:lineRule="auto"/>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6.1</w:t>
            </w:r>
          </w:p>
        </w:tc>
        <w:tc>
          <w:tcPr>
            <w:tcW w:w="1515" w:type="dxa"/>
            <w:vAlign w:val="center"/>
          </w:tcPr>
          <w:p w14:paraId="5FE1ABDC">
            <w:pPr>
              <w:spacing w:line="360" w:lineRule="auto"/>
              <w:jc w:val="center"/>
              <w:rPr>
                <w:rFonts w:ascii="宋体" w:hAnsi="宋体" w:eastAsia="宋体" w:cs="宋体"/>
                <w:color w:val="auto"/>
                <w:spacing w:val="-5"/>
                <w:sz w:val="24"/>
                <w:szCs w:val="24"/>
                <w:highlight w:val="yellow"/>
              </w:rPr>
            </w:pPr>
            <w:r>
              <w:rPr>
                <w:rFonts w:hint="eastAsia" w:ascii="宋体" w:hAnsi="宋体" w:eastAsia="宋体" w:cs="宋体"/>
                <w:color w:val="auto"/>
                <w:spacing w:val="-5"/>
                <w:sz w:val="24"/>
                <w:szCs w:val="24"/>
              </w:rPr>
              <w:t>合同签订</w:t>
            </w:r>
          </w:p>
        </w:tc>
        <w:tc>
          <w:tcPr>
            <w:tcW w:w="6271" w:type="dxa"/>
            <w:vAlign w:val="center"/>
          </w:tcPr>
          <w:p w14:paraId="34B2140E">
            <w:pPr>
              <w:spacing w:line="360" w:lineRule="auto"/>
              <w:rPr>
                <w:rFonts w:ascii="宋体" w:hAnsi="宋体" w:eastAsia="宋体" w:cs="宋体"/>
                <w:color w:val="auto"/>
                <w:spacing w:val="-5"/>
                <w:sz w:val="24"/>
                <w:szCs w:val="24"/>
                <w:lang w:eastAsia="zh-CN"/>
              </w:rPr>
            </w:pPr>
            <w:r>
              <w:rPr>
                <w:rFonts w:hint="eastAsia" w:ascii="宋体" w:hAnsi="宋体" w:eastAsia="宋体" w:cs="宋体"/>
                <w:snapToGrid w:val="0"/>
                <w:color w:val="auto"/>
                <w:kern w:val="0"/>
                <w:sz w:val="24"/>
                <w:szCs w:val="24"/>
              </w:rPr>
              <w:t>采购人与成交供应商应当在成交通知书发出之日起15日内签订合同。</w:t>
            </w:r>
          </w:p>
        </w:tc>
      </w:tr>
      <w:tr w14:paraId="1486A1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6332E0C3">
            <w:pPr>
              <w:spacing w:line="360" w:lineRule="auto"/>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10.1</w:t>
            </w:r>
          </w:p>
        </w:tc>
        <w:tc>
          <w:tcPr>
            <w:tcW w:w="1515" w:type="dxa"/>
            <w:vAlign w:val="center"/>
          </w:tcPr>
          <w:p w14:paraId="7F3AF1EE">
            <w:pPr>
              <w:spacing w:line="360" w:lineRule="auto"/>
              <w:ind w:firstLine="230" w:firstLineChars="100"/>
              <w:jc w:val="left"/>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付款方式</w:t>
            </w:r>
          </w:p>
        </w:tc>
        <w:tc>
          <w:tcPr>
            <w:tcW w:w="6271" w:type="dxa"/>
            <w:vAlign w:val="center"/>
          </w:tcPr>
          <w:p w14:paraId="21F68FF8">
            <w:pPr>
              <w:spacing w:line="360" w:lineRule="auto"/>
              <w:jc w:val="left"/>
              <w:rPr>
                <w:rFonts w:hint="default" w:ascii="宋体" w:hAnsi="宋体" w:eastAsia="宋体" w:cs="宋体"/>
                <w:color w:val="auto"/>
                <w:spacing w:val="-5"/>
                <w:sz w:val="24"/>
                <w:szCs w:val="24"/>
                <w:lang w:val="en-US" w:eastAsia="zh-CN"/>
              </w:rPr>
            </w:pPr>
            <w:r>
              <w:rPr>
                <w:rFonts w:hint="eastAsia" w:ascii="宋体" w:hAnsi="宋体" w:eastAsia="宋体" w:cs="宋体"/>
                <w:color w:val="auto"/>
                <w:spacing w:val="-5"/>
                <w:sz w:val="24"/>
                <w:szCs w:val="24"/>
                <w:lang w:val="en-US" w:eastAsia="zh-CN"/>
              </w:rPr>
              <w:t>1、预付款：如有需求，可在合同签订后，</w:t>
            </w:r>
            <w:r>
              <w:rPr>
                <w:rFonts w:hint="eastAsia" w:ascii="宋体" w:hAnsi="宋体" w:eastAsia="宋体" w:cs="宋体"/>
                <w:color w:val="auto"/>
                <w:spacing w:val="-5"/>
                <w:sz w:val="24"/>
                <w:szCs w:val="24"/>
                <w:lang w:eastAsia="zh-CN"/>
              </w:rPr>
              <w:t>且甲方收到乙方提供的等额合法发票后15个工作日内，甲方向乙方支付</w:t>
            </w:r>
            <w:r>
              <w:rPr>
                <w:rFonts w:hint="eastAsia" w:ascii="宋体" w:hAnsi="宋体" w:eastAsia="宋体" w:cs="宋体"/>
                <w:color w:val="auto"/>
                <w:spacing w:val="-5"/>
                <w:sz w:val="24"/>
                <w:szCs w:val="24"/>
                <w:lang w:val="en-US" w:eastAsia="zh-CN"/>
              </w:rPr>
              <w:t>合同金额30%的预付款；</w:t>
            </w:r>
          </w:p>
          <w:p w14:paraId="34199E16">
            <w:pPr>
              <w:spacing w:line="360" w:lineRule="auto"/>
              <w:jc w:val="left"/>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val="en-US" w:eastAsia="zh-CN"/>
              </w:rPr>
              <w:t>2、</w:t>
            </w:r>
            <w:r>
              <w:rPr>
                <w:rFonts w:hint="eastAsia" w:ascii="宋体" w:hAnsi="宋体" w:eastAsia="宋体" w:cs="宋体"/>
                <w:color w:val="auto"/>
                <w:spacing w:val="-5"/>
                <w:sz w:val="24"/>
                <w:szCs w:val="24"/>
                <w:lang w:eastAsia="zh-CN"/>
              </w:rPr>
              <w:t>交付完成款：乙方按照约定，工程全部完工并经甲方验收合格，且甲方收到乙方提供的等额合法发票后15个工作日内，甲方向乙方支付</w:t>
            </w:r>
            <w:r>
              <w:rPr>
                <w:rFonts w:hint="eastAsia" w:ascii="宋体" w:hAnsi="宋体" w:eastAsia="宋体" w:cs="宋体"/>
                <w:color w:val="auto"/>
                <w:spacing w:val="-5"/>
                <w:sz w:val="24"/>
                <w:szCs w:val="24"/>
                <w:lang w:val="en-US" w:eastAsia="zh-CN"/>
              </w:rPr>
              <w:t>合同剩余的全部</w:t>
            </w:r>
            <w:r>
              <w:rPr>
                <w:rFonts w:hint="eastAsia" w:ascii="宋体" w:hAnsi="宋体" w:eastAsia="宋体" w:cs="宋体"/>
                <w:color w:val="auto"/>
                <w:spacing w:val="-5"/>
                <w:sz w:val="24"/>
                <w:szCs w:val="24"/>
                <w:lang w:eastAsia="zh-CN"/>
              </w:rPr>
              <w:t>款项。</w:t>
            </w:r>
          </w:p>
        </w:tc>
      </w:tr>
      <w:tr w14:paraId="49A00A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DC6537B">
            <w:pPr>
              <w:spacing w:before="68" w:line="360" w:lineRule="auto"/>
              <w:ind w:left="129"/>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10.2</w:t>
            </w:r>
          </w:p>
        </w:tc>
        <w:tc>
          <w:tcPr>
            <w:tcW w:w="1515" w:type="dxa"/>
            <w:vAlign w:val="center"/>
          </w:tcPr>
          <w:p w14:paraId="1C8B7E01">
            <w:pPr>
              <w:tabs>
                <w:tab w:val="left" w:pos="1425"/>
              </w:tabs>
              <w:jc w:val="center"/>
              <w:rPr>
                <w:rFonts w:ascii="宋体" w:hAnsi="宋体" w:eastAsia="宋体" w:cs="宋体"/>
                <w:color w:val="auto"/>
                <w:sz w:val="24"/>
                <w:lang w:eastAsia="zh-CN"/>
              </w:rPr>
            </w:pPr>
            <w:r>
              <w:rPr>
                <w:rFonts w:hint="eastAsia" w:ascii="宋体" w:hAnsi="宋体" w:eastAsia="宋体" w:cs="宋体"/>
                <w:color w:val="auto"/>
                <w:sz w:val="24"/>
                <w:lang w:eastAsia="zh-CN"/>
              </w:rPr>
              <w:t>是否为专门面向中小企业采购</w:t>
            </w:r>
          </w:p>
        </w:tc>
        <w:tc>
          <w:tcPr>
            <w:tcW w:w="6271" w:type="dxa"/>
            <w:vAlign w:val="center"/>
          </w:tcPr>
          <w:p w14:paraId="48CECCEA">
            <w:pPr>
              <w:spacing w:line="460" w:lineRule="exact"/>
              <w:rPr>
                <w:rFonts w:ascii="宋体" w:hAnsi="宋体" w:eastAsia="宋体" w:cs="宋体"/>
                <w:bCs/>
                <w:color w:val="auto"/>
                <w:sz w:val="24"/>
                <w:lang w:eastAsia="zh-CN"/>
              </w:rPr>
            </w:pPr>
            <w:r>
              <w:rPr>
                <w:rFonts w:hint="eastAsia" w:ascii="宋体" w:hAnsi="宋体" w:eastAsia="宋体" w:cs="宋体"/>
                <w:color w:val="auto"/>
                <w:sz w:val="24"/>
                <w:lang w:eastAsia="zh-CN"/>
              </w:rPr>
              <w:t>否，本项目为非预留份额专门面向中小企业采购的采购项目。</w:t>
            </w:r>
          </w:p>
        </w:tc>
      </w:tr>
      <w:tr w14:paraId="0E22C3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226B2990">
            <w:pPr>
              <w:spacing w:before="68" w:line="360" w:lineRule="auto"/>
              <w:ind w:left="129"/>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10.3</w:t>
            </w:r>
          </w:p>
        </w:tc>
        <w:tc>
          <w:tcPr>
            <w:tcW w:w="1515" w:type="dxa"/>
            <w:vAlign w:val="center"/>
          </w:tcPr>
          <w:p w14:paraId="7646712A">
            <w:pPr>
              <w:suppressAutoHyphens/>
              <w:spacing w:line="440" w:lineRule="exact"/>
              <w:jc w:val="center"/>
              <w:rPr>
                <w:rFonts w:ascii="宋体" w:hAnsi="宋体" w:eastAsia="宋体" w:cs="宋体"/>
                <w:color w:val="auto"/>
                <w:sz w:val="24"/>
                <w:lang w:eastAsia="zh-CN"/>
              </w:rPr>
            </w:pPr>
            <w:r>
              <w:rPr>
                <w:rFonts w:hint="eastAsia" w:ascii="宋体" w:hAnsi="宋体" w:eastAsia="宋体" w:cs="宋体"/>
                <w:color w:val="auto"/>
                <w:sz w:val="24"/>
                <w:lang w:eastAsia="zh-CN"/>
              </w:rPr>
              <w:t>采购标的对应的中小企业划分标准所属行业</w:t>
            </w:r>
          </w:p>
        </w:tc>
        <w:tc>
          <w:tcPr>
            <w:tcW w:w="6271" w:type="dxa"/>
            <w:vAlign w:val="center"/>
          </w:tcPr>
          <w:p w14:paraId="4C6D04FB">
            <w:pPr>
              <w:spacing w:line="400" w:lineRule="exact"/>
              <w:rPr>
                <w:rFonts w:ascii="宋体" w:hAnsi="宋体" w:eastAsia="宋体" w:cs="宋体"/>
                <w:bCs/>
                <w:color w:val="auto"/>
                <w:sz w:val="24"/>
                <w:lang w:eastAsia="zh-CN"/>
              </w:rPr>
            </w:pPr>
            <w:r>
              <w:rPr>
                <w:rFonts w:hint="eastAsia" w:ascii="宋体" w:hAnsi="宋体" w:eastAsia="宋体" w:cs="宋体"/>
                <w:b/>
                <w:color w:val="auto"/>
                <w:spacing w:val="-5"/>
                <w:sz w:val="24"/>
                <w:szCs w:val="24"/>
                <w:lang w:eastAsia="zh-CN"/>
              </w:rPr>
              <w:t>所属行业：建筑业。</w:t>
            </w:r>
            <w:r>
              <w:rPr>
                <w:rFonts w:hint="eastAsia" w:ascii="宋体" w:hAnsi="宋体" w:eastAsia="宋体" w:cs="宋体"/>
                <w:color w:val="auto"/>
                <w:sz w:val="24"/>
                <w:lang w:eastAsia="zh-CN"/>
              </w:rPr>
              <w:t>划定标准为：中小微企业划分按照《国家统计局关于印发&lt;统计上大中小微型企业划分办法（2017）&gt;的通知》国统字〔2017〕213号文件及《工业和信息化部、国家统计局、国家发展和改革委员会、财政部关于印发&lt;中小企业划型标准规定&gt;的通知》（工信部联企业[2011]300 号）规定的划分标准为依据。</w:t>
            </w:r>
          </w:p>
        </w:tc>
      </w:tr>
      <w:tr w14:paraId="741857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7AEDA9B2">
            <w:pPr>
              <w:spacing w:before="68" w:line="360" w:lineRule="auto"/>
              <w:ind w:left="129"/>
              <w:jc w:val="center"/>
              <w:rPr>
                <w:rFonts w:ascii="宋体" w:hAnsi="宋体" w:eastAsia="宋体" w:cs="宋体"/>
                <w:color w:val="auto"/>
                <w:spacing w:val="-5"/>
                <w:sz w:val="24"/>
                <w:szCs w:val="24"/>
                <w:lang w:eastAsia="zh-CN"/>
              </w:rPr>
            </w:pPr>
            <w:r>
              <w:rPr>
                <w:rFonts w:ascii="宋体" w:hAnsi="宋体" w:eastAsia="宋体" w:cs="宋体"/>
                <w:color w:val="auto"/>
                <w:spacing w:val="-5"/>
                <w:sz w:val="24"/>
                <w:szCs w:val="24"/>
              </w:rPr>
              <w:t>10.</w:t>
            </w:r>
            <w:r>
              <w:rPr>
                <w:rFonts w:hint="eastAsia" w:ascii="宋体" w:hAnsi="宋体" w:eastAsia="宋体" w:cs="宋体"/>
                <w:color w:val="auto"/>
                <w:spacing w:val="-5"/>
                <w:sz w:val="24"/>
                <w:szCs w:val="24"/>
                <w:lang w:val="en-US" w:eastAsia="zh-CN"/>
              </w:rPr>
              <w:t>4</w:t>
            </w:r>
          </w:p>
        </w:tc>
        <w:tc>
          <w:tcPr>
            <w:tcW w:w="1515" w:type="dxa"/>
            <w:vAlign w:val="center"/>
          </w:tcPr>
          <w:p w14:paraId="34CB26F2">
            <w:pPr>
              <w:spacing w:before="68" w:line="360" w:lineRule="auto"/>
              <w:jc w:val="center"/>
              <w:rPr>
                <w:rFonts w:ascii="宋体" w:hAnsi="宋体" w:eastAsia="宋体" w:cs="宋体"/>
                <w:color w:val="auto"/>
                <w:spacing w:val="-5"/>
                <w:sz w:val="24"/>
                <w:szCs w:val="24"/>
              </w:rPr>
            </w:pPr>
            <w:r>
              <w:rPr>
                <w:rFonts w:hint="eastAsia" w:ascii="宋体" w:hAnsi="宋体"/>
                <w:color w:val="auto"/>
                <w:sz w:val="24"/>
              </w:rPr>
              <w:t>质疑的提出与接收</w:t>
            </w:r>
          </w:p>
        </w:tc>
        <w:tc>
          <w:tcPr>
            <w:tcW w:w="6271" w:type="dxa"/>
            <w:vAlign w:val="center"/>
          </w:tcPr>
          <w:p w14:paraId="6760D368">
            <w:pPr>
              <w:widowControl w:val="0"/>
              <w:kinsoku/>
              <w:autoSpaceDE/>
              <w:autoSpaceDN/>
              <w:adjustRightInd/>
              <w:snapToGrid/>
              <w:spacing w:line="360" w:lineRule="auto"/>
              <w:jc w:val="both"/>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①供应商认为自己的权益受到损害的，可以在知道或者应该知道其权益受到损害之日起七个工作日内，向采购人提出质疑。</w:t>
            </w:r>
          </w:p>
          <w:p w14:paraId="19198FDF">
            <w:pPr>
              <w:widowControl w:val="0"/>
              <w:kinsoku/>
              <w:autoSpaceDE/>
              <w:autoSpaceDN/>
              <w:adjustRightInd/>
              <w:snapToGrid/>
              <w:spacing w:line="360" w:lineRule="auto"/>
              <w:jc w:val="both"/>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②质疑函的内容、格式：应符合《政府采购质疑和投诉办法》相关规定和财政部门制定的《政府采购质疑函范本》格式。</w:t>
            </w:r>
          </w:p>
          <w:p w14:paraId="6833C762">
            <w:pPr>
              <w:widowControl w:val="0"/>
              <w:kinsoku/>
              <w:autoSpaceDE/>
              <w:autoSpaceDN/>
              <w:adjustRightInd/>
              <w:snapToGrid/>
              <w:spacing w:line="360" w:lineRule="auto"/>
              <w:jc w:val="both"/>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③供应商应在法定质疑期内一次性针对同一采购程序环节提出质疑，否则针对再次提出质疑将不予接收。（采购程序环节分为：采购公告、采购文件、采购过程、成交结果）</w:t>
            </w:r>
          </w:p>
          <w:p w14:paraId="275C0A5B">
            <w:pPr>
              <w:widowControl w:val="0"/>
              <w:kinsoku/>
              <w:autoSpaceDE/>
              <w:autoSpaceDN/>
              <w:adjustRightInd/>
              <w:snapToGrid/>
              <w:spacing w:line="360" w:lineRule="auto"/>
              <w:jc w:val="both"/>
              <w:textAlignment w:val="auto"/>
              <w:rPr>
                <w:rFonts w:ascii="宋体" w:hAnsi="宋体" w:eastAsia="宋体" w:cs="宋体"/>
                <w:color w:val="auto"/>
                <w:spacing w:val="-5"/>
                <w:sz w:val="24"/>
                <w:szCs w:val="24"/>
                <w:lang w:eastAsia="zh-CN"/>
              </w:rPr>
            </w:pPr>
            <w:r>
              <w:rPr>
                <w:rFonts w:hint="eastAsia" w:ascii="宋体" w:hAnsi="宋体" w:eastAsia="宋体" w:cs="Times New Roman"/>
                <w:snapToGrid/>
                <w:color w:val="auto"/>
                <w:kern w:val="2"/>
                <w:sz w:val="24"/>
                <w:szCs w:val="24"/>
                <w:lang w:eastAsia="zh-CN"/>
              </w:rPr>
              <w:t>④接收质疑函的方式：接收加盖单位公章、法定的代表人签字（或加盖个人印章）的书面质疑函。</w:t>
            </w:r>
          </w:p>
        </w:tc>
      </w:tr>
      <w:tr w14:paraId="239868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209DAC61">
            <w:pPr>
              <w:spacing w:before="68" w:line="360" w:lineRule="auto"/>
              <w:ind w:left="129"/>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10.</w:t>
            </w:r>
            <w:r>
              <w:rPr>
                <w:rFonts w:hint="eastAsia" w:ascii="宋体" w:hAnsi="宋体" w:eastAsia="宋体" w:cs="宋体"/>
                <w:color w:val="auto"/>
                <w:spacing w:val="-5"/>
                <w:sz w:val="24"/>
                <w:szCs w:val="24"/>
                <w:lang w:val="en-US" w:eastAsia="zh-CN"/>
              </w:rPr>
              <w:t>5</w:t>
            </w:r>
          </w:p>
        </w:tc>
        <w:tc>
          <w:tcPr>
            <w:tcW w:w="1515" w:type="dxa"/>
            <w:vAlign w:val="center"/>
          </w:tcPr>
          <w:p w14:paraId="6397E5F3">
            <w:pPr>
              <w:spacing w:line="360" w:lineRule="auto"/>
              <w:jc w:val="center"/>
              <w:textAlignment w:val="bottom"/>
              <w:rPr>
                <w:rFonts w:ascii="宋体" w:hAnsi="宋体" w:cs="宋体"/>
                <w:color w:val="auto"/>
                <w:spacing w:val="-4"/>
                <w:sz w:val="24"/>
              </w:rPr>
            </w:pPr>
            <w:r>
              <w:rPr>
                <w:rFonts w:hint="eastAsia" w:ascii="宋体" w:hAnsi="宋体" w:cs="宋体"/>
                <w:color w:val="auto"/>
                <w:spacing w:val="-4"/>
                <w:sz w:val="24"/>
              </w:rPr>
              <w:t>解释</w:t>
            </w:r>
          </w:p>
        </w:tc>
        <w:tc>
          <w:tcPr>
            <w:tcW w:w="6271" w:type="dxa"/>
            <w:vAlign w:val="center"/>
          </w:tcPr>
          <w:p w14:paraId="7E95CBB5">
            <w:pPr>
              <w:spacing w:line="360" w:lineRule="auto"/>
              <w:textAlignment w:val="bottom"/>
              <w:rPr>
                <w:rFonts w:ascii="宋体" w:hAnsi="宋体" w:cs="宋体"/>
                <w:color w:val="auto"/>
                <w:sz w:val="24"/>
                <w:lang w:eastAsia="zh-CN"/>
              </w:rPr>
            </w:pPr>
            <w:r>
              <w:rPr>
                <w:rFonts w:hint="eastAsia" w:ascii="宋体" w:hAnsi="宋体" w:cs="宋体"/>
                <w:color w:val="auto"/>
                <w:spacing w:val="-4"/>
                <w:sz w:val="24"/>
                <w:lang w:eastAsia="zh-CN"/>
              </w:rPr>
              <w:t>构成本磋商文件的各个组成文件应互为解释，互为说明；如有不明确或不一致，构成合同文件组成内容的，以合同文件约定内容为准；除磋商文件中有特殊规定外，仅适用于招标投标阶段的规定，按招标公告、供应商须知、投标文件格式、评标办法先后顺序解释；同一组成文件中就同一事项的规定或约定不一致的，以编排顺序在后者为准；当磋商文件与磋商文件的澄清、修改或补充通知就同一内容的表述不一致时，以最后发出的书面文件为准。合同文件约定或后者明显错误的除外。按本款前述规定仍不能形成结论的，由采购人负责解释。</w:t>
            </w:r>
          </w:p>
        </w:tc>
      </w:tr>
      <w:tr w14:paraId="363128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 w:type="dxa"/>
            <w:vAlign w:val="center"/>
          </w:tcPr>
          <w:p w14:paraId="066AB7E8">
            <w:pPr>
              <w:spacing w:before="68" w:line="360" w:lineRule="auto"/>
              <w:ind w:left="129"/>
              <w:jc w:val="center"/>
              <w:rPr>
                <w:rFonts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10.</w:t>
            </w:r>
            <w:r>
              <w:rPr>
                <w:rFonts w:hint="eastAsia" w:ascii="宋体" w:hAnsi="宋体" w:eastAsia="宋体" w:cs="宋体"/>
                <w:color w:val="auto"/>
                <w:spacing w:val="-5"/>
                <w:sz w:val="24"/>
                <w:szCs w:val="24"/>
                <w:lang w:val="en-US" w:eastAsia="zh-CN"/>
              </w:rPr>
              <w:t>6</w:t>
            </w:r>
          </w:p>
        </w:tc>
        <w:tc>
          <w:tcPr>
            <w:tcW w:w="1515" w:type="dxa"/>
            <w:vAlign w:val="center"/>
          </w:tcPr>
          <w:p w14:paraId="3B79407A">
            <w:pPr>
              <w:spacing w:line="360" w:lineRule="auto"/>
              <w:jc w:val="center"/>
              <w:textAlignment w:val="bottom"/>
              <w:rPr>
                <w:rFonts w:ascii="宋体" w:hAnsi="宋体" w:cs="宋体"/>
                <w:color w:val="auto"/>
                <w:spacing w:val="-4"/>
                <w:sz w:val="24"/>
              </w:rPr>
            </w:pPr>
            <w:r>
              <w:rPr>
                <w:rFonts w:hint="eastAsia" w:ascii="宋体" w:hAnsi="宋体" w:cs="宋体"/>
                <w:color w:val="auto"/>
                <w:spacing w:val="-4"/>
                <w:sz w:val="24"/>
              </w:rPr>
              <w:t>其他</w:t>
            </w:r>
          </w:p>
        </w:tc>
        <w:tc>
          <w:tcPr>
            <w:tcW w:w="6271" w:type="dxa"/>
            <w:vAlign w:val="center"/>
          </w:tcPr>
          <w:p w14:paraId="66E29430">
            <w:pPr>
              <w:spacing w:line="400" w:lineRule="exact"/>
              <w:rPr>
                <w:rFonts w:ascii="宋体" w:hAnsi="宋体" w:cs="宋体"/>
                <w:color w:val="auto"/>
                <w:spacing w:val="-4"/>
                <w:sz w:val="24"/>
                <w:lang w:eastAsia="zh-CN"/>
              </w:rPr>
            </w:pPr>
            <w:r>
              <w:rPr>
                <w:rFonts w:hint="eastAsia" w:ascii="宋体" w:hAnsi="宋体" w:cs="宋体"/>
                <w:color w:val="auto"/>
                <w:sz w:val="24"/>
                <w:lang w:eastAsia="zh-CN"/>
              </w:rPr>
              <w:t>磋商文件中要求的内容与最新国家、地方法律法规规定有矛盾的，以最新国家、地方法律法规规定为准。</w:t>
            </w:r>
          </w:p>
        </w:tc>
      </w:tr>
    </w:tbl>
    <w:p w14:paraId="5E57372A">
      <w:pPr>
        <w:rPr>
          <w:rFonts w:hint="eastAsia" w:asciiTheme="minorEastAsia" w:hAnsiTheme="minorEastAsia"/>
          <w:b/>
          <w:color w:val="auto"/>
          <w:spacing w:val="7"/>
          <w:sz w:val="24"/>
          <w:szCs w:val="24"/>
          <w:lang w:eastAsia="zh-CN"/>
        </w:rPr>
      </w:pPr>
      <w:r>
        <w:rPr>
          <w:rFonts w:hint="eastAsia" w:asciiTheme="minorEastAsia" w:hAnsiTheme="minorEastAsia"/>
          <w:b/>
          <w:color w:val="auto"/>
          <w:spacing w:val="7"/>
          <w:sz w:val="24"/>
          <w:szCs w:val="24"/>
          <w:lang w:eastAsia="zh-CN"/>
        </w:rPr>
        <w:br w:type="page"/>
      </w:r>
    </w:p>
    <w:p w14:paraId="10A2D01B">
      <w:pPr>
        <w:spacing w:line="360" w:lineRule="auto"/>
        <w:jc w:val="center"/>
        <w:rPr>
          <w:rFonts w:asciiTheme="minorEastAsia" w:hAnsiTheme="minorEastAsia"/>
          <w:b/>
          <w:color w:val="auto"/>
          <w:spacing w:val="7"/>
          <w:sz w:val="24"/>
          <w:szCs w:val="24"/>
          <w:lang w:eastAsia="zh-CN"/>
        </w:rPr>
      </w:pPr>
      <w:r>
        <w:rPr>
          <w:rFonts w:hint="eastAsia" w:asciiTheme="minorEastAsia" w:hAnsiTheme="minorEastAsia"/>
          <w:b/>
          <w:color w:val="auto"/>
          <w:spacing w:val="7"/>
          <w:sz w:val="24"/>
          <w:szCs w:val="24"/>
          <w:lang w:eastAsia="zh-CN"/>
        </w:rPr>
        <w:t>总则</w:t>
      </w:r>
    </w:p>
    <w:p w14:paraId="6AF6A61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1.1项目概况</w:t>
      </w:r>
    </w:p>
    <w:p w14:paraId="788FED3F">
      <w:pPr>
        <w:keepNext w:val="0"/>
        <w:keepLines w:val="0"/>
        <w:pageBreakBefore w:val="0"/>
        <w:widowControl/>
        <w:kinsoku w:val="0"/>
        <w:wordWrap/>
        <w:overflowPunct/>
        <w:topLinePunct w:val="0"/>
        <w:autoSpaceDE w:val="0"/>
        <w:autoSpaceDN w:val="0"/>
        <w:bidi w:val="0"/>
        <w:adjustRightInd w:val="0"/>
        <w:snapToGrid w:val="0"/>
        <w:spacing w:line="360" w:lineRule="auto"/>
        <w:ind w:firstLine="281" w:firstLineChars="111"/>
        <w:textAlignment w:val="baseline"/>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1.1.1根据《中华人民共和国政府采购法》、《中华人民共和国政府采购法实施条例》等有关法律、法规和规章的规定，本采购项目已具备自主磋商条件，现对本项目进行自主磋商。</w:t>
      </w:r>
    </w:p>
    <w:p w14:paraId="1B2407C6">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1.1.2采购人：供应商须知前附表中所述的，依法进行政府采购的国家机关、事业单位、团体组织。</w:t>
      </w:r>
    </w:p>
    <w:p w14:paraId="4C11C354">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1.1.4采购方式：见供应商须知前附表。</w:t>
      </w:r>
    </w:p>
    <w:p w14:paraId="28895190">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1.1.5项目名称及采购编号：见供应商须知前附表。</w:t>
      </w:r>
    </w:p>
    <w:p w14:paraId="7938C0D5">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1.1.6建设地点：见供应商须知前附表。</w:t>
      </w:r>
    </w:p>
    <w:p w14:paraId="01C8E8F7">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1.2资金来源和落实情况</w:t>
      </w:r>
    </w:p>
    <w:p w14:paraId="7524833E">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1.2.1资金来源：见供应商须知前附表。</w:t>
      </w:r>
    </w:p>
    <w:p w14:paraId="0B365287">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1.2.2采购预算金额：见供应商须知前附表。</w:t>
      </w:r>
    </w:p>
    <w:p w14:paraId="33DCBA27">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1.2.3采购项目性质：见供应商须知前附表。</w:t>
      </w:r>
    </w:p>
    <w:p w14:paraId="1B374F5C">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1.2.4资金落实情况：见供应商须知前附表。</w:t>
      </w:r>
    </w:p>
    <w:p w14:paraId="523CAA82">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1.3改造内容、计划工期和质量标准</w:t>
      </w:r>
    </w:p>
    <w:p w14:paraId="601329C6">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1.3.1改造内容：见供应商须知前附表。</w:t>
      </w:r>
    </w:p>
    <w:p w14:paraId="57EAA095">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1.3.2计划工期：见供应商须知前附表。</w:t>
      </w:r>
    </w:p>
    <w:p w14:paraId="736C126E">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1.3.3质量标准：见供应商须知前附表。</w:t>
      </w:r>
    </w:p>
    <w:p w14:paraId="2B9CEE96">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1.4供应商资格要求</w:t>
      </w:r>
    </w:p>
    <w:p w14:paraId="0DCD3AD5">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1.4.1供应商应具备的资格条件</w:t>
      </w:r>
    </w:p>
    <w:p w14:paraId="5F13DA70">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详见供应商须知前附表第1.4.1项规定</w:t>
      </w:r>
    </w:p>
    <w:p w14:paraId="20ADEED3">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1.4.3供应商不得存在下列情形之一：</w:t>
      </w:r>
    </w:p>
    <w:p w14:paraId="67401F94">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 与采购人存在利害关系且可能影响磋商公正性；</w:t>
      </w:r>
    </w:p>
    <w:p w14:paraId="53573DBC">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 与本磋商项目的其他供应商为同一个单位负责人；</w:t>
      </w:r>
    </w:p>
    <w:p w14:paraId="2DF168B4">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 与本磋商项目的其他供应商存在控股、管理关系；</w:t>
      </w:r>
    </w:p>
    <w:p w14:paraId="0B0C4701">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 为本磋商项目提供过整体设计、规范编制或者项目管理、监理、检测等服务；</w:t>
      </w:r>
    </w:p>
    <w:p w14:paraId="4F94F4EF">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 为本项目的监理人；</w:t>
      </w:r>
    </w:p>
    <w:p w14:paraId="26A9EA22">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(6) 为本项目的代建人；</w:t>
      </w:r>
    </w:p>
    <w:p w14:paraId="2DD260EE">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 与本项目的监理人或代建人同为一个法定代表人；</w:t>
      </w:r>
    </w:p>
    <w:p w14:paraId="41420F6A">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(8) 与本项目的监理人或代建人存在控股或参股关系；</w:t>
      </w:r>
    </w:p>
    <w:p w14:paraId="18025BCA">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w:t>
      </w:r>
      <w:r>
        <w:rPr>
          <w:rFonts w:hint="eastAsia" w:asciiTheme="minorEastAsia" w:hAnsiTheme="minorEastAsia"/>
          <w:color w:val="auto"/>
          <w:spacing w:val="7"/>
          <w:sz w:val="24"/>
          <w:szCs w:val="24"/>
          <w:lang w:val="en-US" w:eastAsia="zh-CN"/>
        </w:rPr>
        <w:t>9</w:t>
      </w:r>
      <w:r>
        <w:rPr>
          <w:rFonts w:hint="eastAsia" w:asciiTheme="minorEastAsia" w:hAnsiTheme="minorEastAsia"/>
          <w:color w:val="auto"/>
          <w:spacing w:val="7"/>
          <w:sz w:val="24"/>
          <w:szCs w:val="24"/>
          <w:lang w:eastAsia="zh-CN"/>
        </w:rPr>
        <w:t>)供应商以他人名义投标、串通投标、以行贿手段牟取中标，或在投标中弄虚作假的；</w:t>
      </w:r>
    </w:p>
    <w:p w14:paraId="7FA82781">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w:t>
      </w:r>
      <w:r>
        <w:rPr>
          <w:rFonts w:hint="eastAsia" w:asciiTheme="minorEastAsia" w:hAnsiTheme="minorEastAsia"/>
          <w:color w:val="auto"/>
          <w:spacing w:val="7"/>
          <w:sz w:val="24"/>
          <w:szCs w:val="24"/>
          <w:lang w:val="en-US" w:eastAsia="zh-CN"/>
        </w:rPr>
        <w:t>0</w:t>
      </w:r>
      <w:r>
        <w:rPr>
          <w:rFonts w:hint="eastAsia" w:asciiTheme="minorEastAsia" w:hAnsiTheme="minorEastAsia"/>
          <w:color w:val="auto"/>
          <w:spacing w:val="7"/>
          <w:sz w:val="24"/>
          <w:szCs w:val="24"/>
          <w:lang w:eastAsia="zh-CN"/>
        </w:rPr>
        <w:t>)法律法规规定的其他情形。</w:t>
      </w:r>
    </w:p>
    <w:p w14:paraId="70455B47">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1.5费用承担</w:t>
      </w:r>
    </w:p>
    <w:p w14:paraId="53F41585">
      <w:pPr>
        <w:spacing w:line="360" w:lineRule="auto"/>
        <w:ind w:firstLine="254" w:firstLineChars="10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供应商准备和参加自主磋商活动发生的费用自理。</w:t>
      </w:r>
    </w:p>
    <w:p w14:paraId="19FC6895">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1.6保密</w:t>
      </w:r>
    </w:p>
    <w:p w14:paraId="1076D257">
      <w:pPr>
        <w:spacing w:line="360" w:lineRule="auto"/>
        <w:ind w:firstLine="281" w:firstLineChars="111"/>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参与自主磋商活动的各方应对自主磋商文件和响应文件中的商业和技术等秘密保密，否则应承担相应的法律责任。</w:t>
      </w:r>
    </w:p>
    <w:p w14:paraId="6B819135">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1.7语言文字</w:t>
      </w:r>
    </w:p>
    <w:p w14:paraId="2D5907B4">
      <w:pPr>
        <w:spacing w:line="360" w:lineRule="auto"/>
        <w:ind w:firstLine="139" w:firstLineChars="55"/>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自主磋商文件及响应文件使用语言文字应为中文。专用术语使用外文的，应附有中文注释。</w:t>
      </w:r>
    </w:p>
    <w:p w14:paraId="0049AE64">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1.8计量单位</w:t>
      </w:r>
    </w:p>
    <w:p w14:paraId="3C0E748A">
      <w:pPr>
        <w:spacing w:line="360" w:lineRule="auto"/>
        <w:ind w:firstLine="254" w:firstLineChars="10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所有计量均采用中华人民共和国法定计量标准单位。</w:t>
      </w:r>
    </w:p>
    <w:p w14:paraId="623EF65C">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1.9现场考察或答疑会</w:t>
      </w:r>
    </w:p>
    <w:p w14:paraId="08124A3C">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1.9.1现场考察：供应商须知前附表规定组织现场考察的，采购人按供应商须知前附表规定 的时间、地点组织供应商考察项目现场。部分供应商未按时参加现场考察的，不影响现场考察的正常进行。</w:t>
      </w:r>
    </w:p>
    <w:p w14:paraId="045B9550">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1.9.2供应商现场考察发生的费用自理。</w:t>
      </w:r>
    </w:p>
    <w:p w14:paraId="615B48D5">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1.9.3除采购人的原因外，供应商自行负责在现场考察中所发生的人员伤亡和财产损失。</w:t>
      </w:r>
    </w:p>
    <w:p w14:paraId="71DDC6A9">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1.9.4采购人在现场考察中介绍的项目场地和相关的周边环境情况，供供应商在编制响应文件时参考，采购人不对供应商据此作出的判断和决策负责。</w:t>
      </w:r>
    </w:p>
    <w:p w14:paraId="4E0527A7">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1.9.5答疑会：见供应商须知前附表。</w:t>
      </w:r>
    </w:p>
    <w:p w14:paraId="3652324B">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1.10分包</w:t>
      </w:r>
    </w:p>
    <w:p w14:paraId="4813C29B">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1.10.1供应商拟在成交后将成交项目的非主体、非关键性工作进行分包的，应符合供应商须知前附表规定的分包内容、分包金额和资质要求等限制性条件，除供应商须知前附表规定的非主体、非关键性工作外，其他工作不得分包。</w:t>
      </w:r>
    </w:p>
    <w:p w14:paraId="42EFB1D4">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1.10.2成交人不得向他人转让成交项目，接受分包的人不得再次分包。成交人应当就分包项目向采购人负责，接受分包的人就分包项目承担连带责任。</w:t>
      </w:r>
    </w:p>
    <w:p w14:paraId="19FA3487">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1.10.3接受分包合同的中小企业与分包企业之间不得存在直接控股、管理关系。</w:t>
      </w:r>
    </w:p>
    <w:p w14:paraId="5CB20D20">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1.10.4依据《政府采购促进中小企业发展管理办法》规定享受扶持政策获得政府采购合同的小微企业不得将合同分包给大中型企业，中型企业不得将合同分包给大型企业。</w:t>
      </w:r>
    </w:p>
    <w:p w14:paraId="1FE67110">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1.11响应和偏差</w:t>
      </w:r>
    </w:p>
    <w:p w14:paraId="7D3230DF">
      <w:pPr>
        <w:spacing w:line="360" w:lineRule="auto"/>
        <w:ind w:firstLine="566" w:firstLineChars="223"/>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1.11.1响应文件应当对自主磋商文件的实质性要求和条件作出满足性或更有利于采购人的响应，否则，供应商的响应文件将被否决。实质性要求和条件见供应商须知前附表。</w:t>
      </w:r>
    </w:p>
    <w:p w14:paraId="2E284736">
      <w:pPr>
        <w:spacing w:line="360" w:lineRule="auto"/>
        <w:ind w:firstLine="566" w:firstLineChars="223"/>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1.11.2允许响应文件偏离自主磋商文件某些要求的，偏差应当符合自主磋商文件规定的偏差范围和幅度。</w:t>
      </w:r>
    </w:p>
    <w:p w14:paraId="4A7CCC50">
      <w:pPr>
        <w:spacing w:line="360" w:lineRule="auto"/>
        <w:ind w:firstLine="566" w:firstLineChars="223"/>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1.11.3响应文件对自主磋商文件的全部偏差，均应在响应文件的商务和技术偏差表中列明，除列明的内容外，视为供应商响应自主磋商文件的全部要求。</w:t>
      </w:r>
    </w:p>
    <w:p w14:paraId="7145864C">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1.12选择性报价方案</w:t>
      </w:r>
    </w:p>
    <w:p w14:paraId="2A69CCB6">
      <w:pPr>
        <w:spacing w:line="360" w:lineRule="auto"/>
        <w:ind w:firstLine="635" w:firstLineChars="25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选择性报价方案：见供应商须知前附表。</w:t>
      </w:r>
    </w:p>
    <w:p w14:paraId="746982B1">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2.自主磋商文件</w:t>
      </w:r>
    </w:p>
    <w:p w14:paraId="25861F69">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2.1自主磋商文件的组成</w:t>
      </w:r>
    </w:p>
    <w:p w14:paraId="001454A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本自主磋商文件包括：</w:t>
      </w:r>
    </w:p>
    <w:p w14:paraId="1EE5F5B5">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 自主磋商公告</w:t>
      </w:r>
    </w:p>
    <w:p w14:paraId="7406939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 供应商须知</w:t>
      </w:r>
    </w:p>
    <w:p w14:paraId="22A18563">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 评审办法</w:t>
      </w:r>
    </w:p>
    <w:p w14:paraId="0C371F40">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 合同条款格式</w:t>
      </w:r>
    </w:p>
    <w:p w14:paraId="29A08BD4">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 项目技术标准及要求</w:t>
      </w:r>
    </w:p>
    <w:p w14:paraId="4A9C232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(6) 磋商响应文件格式</w:t>
      </w:r>
    </w:p>
    <w:p w14:paraId="255BF55E">
      <w:pPr>
        <w:spacing w:line="360" w:lineRule="auto"/>
        <w:ind w:firstLine="508" w:firstLineChars="20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根据本章第 1.9 款、第2.2 款和第2.3 款对自主磋商文件所作的澄清、修改，构成自主磋商文件的组成部分。</w:t>
      </w:r>
    </w:p>
    <w:p w14:paraId="7B6ED819">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2.2自主磋商文件的澄清</w:t>
      </w:r>
    </w:p>
    <w:p w14:paraId="20DAFB79">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2.2.1供应商应仔细阅读和检查自主磋商文件的全部内容。如发现缺页或附件不全，应及时向采购人提出，以便补齐。如有疑问，应按供应商须知前附表规定的时间和形式将提出的问题送达采购人，要求采购人对自主磋商文件予以澄清。</w:t>
      </w:r>
    </w:p>
    <w:p w14:paraId="725114BC">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2.2.2自主磋商文件的澄清以供应商须知前附表规定的形式发给所有获取自主磋商文件的供应商，同时在原公告媒体发布澄清公告，但不指明澄清问题的来源。澄清发出的时间距本章第4.2.1项规定的提交首次响应文件截止时间不足5日的，并且澄清内容可能影响响应文件编制的，将相应延长提交首次响应文件截止时间。</w:t>
      </w:r>
    </w:p>
    <w:p w14:paraId="35838691">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2.2.3供应商在收到澄清后，应按供应商须知前附表规定的时间和形式通知采购人，确认已收到该澄清。</w:t>
      </w:r>
    </w:p>
    <w:p w14:paraId="6715C5E4">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2.2.4除非采购人认为确有必要答复，否则，采购人有权拒绝回复供应商在本章第2.2.1 项规定的时间后的任何澄清要求。在规定的时间内未提出疑问的，将被视为对自主磋商文件完全认可。</w:t>
      </w:r>
    </w:p>
    <w:p w14:paraId="3BC277BC">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2.3自主磋商文件的修改</w:t>
      </w:r>
    </w:p>
    <w:p w14:paraId="0024D1C9">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2.3.1采购人可以对已发出的自主磋商文件进行必要的修改，但不得改变采购标的和资格条件，修改的内容为自主磋商文件的组成部分。</w:t>
      </w:r>
    </w:p>
    <w:p w14:paraId="49D4D9F7">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2.3.2采购人以供应商须知前附表规定的形式修改自主磋商文件，并通知所有已获取自主磋商文件的供应商，同时在原公告媒体发布变更公告。修改自主磋商文件的时间距本章第4.2.1项规定的提交首次响应文件截止时间不足5日的，并且修改内容可能影响响应文件编制的，将相应延长提交首次响应文件截止时间。</w:t>
      </w:r>
    </w:p>
    <w:p w14:paraId="52699143">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2.3.3供应商收到修改内容后，应按供应商须知前附表规定的时间和形式通知采购人，确认已收到该修改。</w:t>
      </w:r>
    </w:p>
    <w:p w14:paraId="18C04970">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3.磋商响应文件编写</w:t>
      </w:r>
    </w:p>
    <w:p w14:paraId="7C696817">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3.1磋商响应文件的组成</w:t>
      </w:r>
    </w:p>
    <w:p w14:paraId="0C323A73">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磋商响应文件应包括下列内容：</w:t>
      </w:r>
    </w:p>
    <w:p w14:paraId="40C1EBA5">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一、 报价函及报价函附录</w:t>
      </w:r>
    </w:p>
    <w:p w14:paraId="60126573">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二、法定代表人身份证明或法定代表人授权委托书</w:t>
      </w:r>
    </w:p>
    <w:p w14:paraId="0229CF39">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三、响应承诺函</w:t>
      </w:r>
    </w:p>
    <w:p w14:paraId="32167388">
      <w:pPr>
        <w:spacing w:line="360" w:lineRule="auto"/>
        <w:rPr>
          <w:rFonts w:hint="eastAsia"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四、供应商资格证明文件</w:t>
      </w:r>
    </w:p>
    <w:p w14:paraId="2A232B62">
      <w:pPr>
        <w:spacing w:line="360" w:lineRule="auto"/>
        <w:rPr>
          <w:color w:val="auto"/>
          <w:lang w:eastAsia="zh-CN"/>
        </w:rPr>
      </w:pPr>
      <w:r>
        <w:rPr>
          <w:rFonts w:hint="eastAsia" w:asciiTheme="minorEastAsia" w:hAnsiTheme="minorEastAsia"/>
          <w:color w:val="auto"/>
          <w:spacing w:val="7"/>
          <w:sz w:val="24"/>
          <w:szCs w:val="24"/>
          <w:lang w:eastAsia="zh-CN"/>
        </w:rPr>
        <w:t>五、项目报价表</w:t>
      </w:r>
    </w:p>
    <w:p w14:paraId="2AED575C">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六、施工组织设计</w:t>
      </w:r>
    </w:p>
    <w:p w14:paraId="57B01D3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七、项目管理机构</w:t>
      </w:r>
    </w:p>
    <w:p w14:paraId="231DBA6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八、近年完成的类似项目情况表</w:t>
      </w:r>
    </w:p>
    <w:p w14:paraId="29813D80">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九、服务承诺</w:t>
      </w:r>
    </w:p>
    <w:p w14:paraId="29174971">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十、反商业贿赂承诺书</w:t>
      </w:r>
    </w:p>
    <w:p w14:paraId="5142CA1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十一、中小企业声明函</w:t>
      </w:r>
    </w:p>
    <w:p w14:paraId="7F528E95">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十二、残疾人福利性单位声明函（如有）</w:t>
      </w:r>
    </w:p>
    <w:p w14:paraId="63E6417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十三、监狱企业证明材料（如有）</w:t>
      </w:r>
    </w:p>
    <w:p w14:paraId="21C5815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十四、其他资料</w:t>
      </w:r>
    </w:p>
    <w:p w14:paraId="59E1157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3.2磋商价格构成及报价要求</w:t>
      </w:r>
    </w:p>
    <w:p w14:paraId="05D4A428">
      <w:pPr>
        <w:spacing w:line="360" w:lineRule="auto"/>
        <w:ind w:firstLine="424" w:firstLineChars="167"/>
        <w:rPr>
          <w:rFonts w:hint="eastAsia"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3.2.</w:t>
      </w:r>
      <w:r>
        <w:rPr>
          <w:rFonts w:hint="eastAsia" w:asciiTheme="minorEastAsia" w:hAnsiTheme="minorEastAsia"/>
          <w:color w:val="auto"/>
          <w:spacing w:val="7"/>
          <w:sz w:val="24"/>
          <w:szCs w:val="24"/>
          <w:lang w:val="en-US" w:eastAsia="zh-CN"/>
        </w:rPr>
        <w:t>1</w:t>
      </w:r>
      <w:r>
        <w:rPr>
          <w:rFonts w:hint="eastAsia" w:asciiTheme="minorEastAsia" w:hAnsiTheme="minorEastAsia"/>
          <w:color w:val="auto"/>
          <w:spacing w:val="7"/>
          <w:sz w:val="24"/>
          <w:szCs w:val="24"/>
          <w:lang w:eastAsia="zh-CN"/>
        </w:rPr>
        <w:t>供应商应按“磋商响应文件格式”的要求在报价函中进行报价。</w:t>
      </w:r>
    </w:p>
    <w:p w14:paraId="2468231F">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3.2.2供应商应充分了解该项目的总体情况以及影响磋商报价的其他要素。</w:t>
      </w:r>
    </w:p>
    <w:p w14:paraId="1F219A1B">
      <w:pPr>
        <w:spacing w:line="360" w:lineRule="auto"/>
        <w:ind w:firstLine="424" w:firstLineChars="167"/>
        <w:rPr>
          <w:rFonts w:hint="eastAsia"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3.2.3本项目的报价方式见供应商须知前附表。</w:t>
      </w:r>
    </w:p>
    <w:p w14:paraId="2AE6205C">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3.2.4采购人设有最高限价（采购预算金额）的，供应商的磋商报价不得超过最高限价（采购预算金额）。</w:t>
      </w:r>
    </w:p>
    <w:p w14:paraId="565901CA">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3.3磋商有效期</w:t>
      </w:r>
    </w:p>
    <w:p w14:paraId="0491A1F1">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3.3.1磋商有效期见供应商须知前附表，从提交首次响应文件的截止之日起算。</w:t>
      </w:r>
    </w:p>
    <w:p w14:paraId="3976F20F">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3.3.2在磋商有效期内，供应商撤销响应文件的，应承担自主磋商文件和法律规定的责任。</w:t>
      </w:r>
    </w:p>
    <w:p w14:paraId="4C04CBB1">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3.3.3出现特殊情况需要延长磋商有效期的，采购人以书面形式通知所有供应商延长磋商有效期。供应商应予以书面答复，但不得要求或被允许修改其响应文件；供应商拒绝延长的，其磋商失效。</w:t>
      </w:r>
    </w:p>
    <w:p w14:paraId="450A57B4">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3.4磋商保证金（本项目不要求缴纳保证金）</w:t>
      </w:r>
    </w:p>
    <w:p w14:paraId="7B344C6A">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3.5磋商响应文件的编制</w:t>
      </w:r>
    </w:p>
    <w:p w14:paraId="1F4B8AF3">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3.5.1磋商响应文件应按第六章磋商响应文件格式进行编写，如有必要，可以增加附页，作为磋商响应文件的组成部分。其中，报价函附录在满足自主磋商文件实质性要求的基础上，可以提出比自主磋商文件要求更有利于采购人的承诺。</w:t>
      </w:r>
    </w:p>
    <w:p w14:paraId="44BEC7C1">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3.5.2磋商响应文件应当对自主磋商文件有关磋商报价、计划工期、磋商有效期、质量标准等实质性内容作出响应。</w:t>
      </w:r>
    </w:p>
    <w:p w14:paraId="494D370A">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 xml:space="preserve">3.5.3响应文件应用不褪色的材料书写或打印，并由供应商的法定代表人或其委托代理人签字并加盖单位公章。委托代理人签字的，响应文件应附法定代表人签署的授权委托书。响应文件应尽量避免涂改、行间插字或删除。如果出现上述情况，改动之处应加盖单位公章并由供应商的法定代表人或其授权的代理人签字确认。签字或盖章的具体要求见供应商须知前附表。 </w:t>
      </w:r>
    </w:p>
    <w:p w14:paraId="51B0E87E">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3.5.5响应文件正本一份，副本份数见供应商须知前附表。正本和副本的封面上应清楚地标记“正本”或“副本”的字样。当副本和正本不一致时，以正本为准。</w:t>
      </w:r>
    </w:p>
    <w:p w14:paraId="2F270CC0">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3.5.6响应文件的正本与副本应分别装订成册，并编制目录，具体装订要求见供应商须知前附表规定。</w:t>
      </w:r>
    </w:p>
    <w:p w14:paraId="6324A8E3">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4.响应文件的递交</w:t>
      </w:r>
    </w:p>
    <w:p w14:paraId="60E6B494">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4.1响应文件的密封和标记</w:t>
      </w:r>
    </w:p>
    <w:p w14:paraId="2AC00C8C">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4.1.1响应文件的的正本及副本应密封在一个袋内，加贴封条，并在封套的封口处加盖供应商单位公章。电子文档单独密封。</w:t>
      </w:r>
    </w:p>
    <w:p w14:paraId="61576F71">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4.2磋商响应文件的递交</w:t>
      </w:r>
    </w:p>
    <w:p w14:paraId="4955F9C5">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4.2.1 供应商应在本章供应商须知前附表规定的磋商截止时间前递交响应文件。</w:t>
      </w:r>
    </w:p>
    <w:p w14:paraId="3B856B48">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4.2.2 供应商递交响应文件的地点：见供应商须知前附表。</w:t>
      </w:r>
    </w:p>
    <w:p w14:paraId="682FFAC4">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4.2.3除供应商须知前附表另有规定外，供应商所递交的响应文件不予退还。</w:t>
      </w:r>
    </w:p>
    <w:p w14:paraId="233ACF91">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4.2.4逾期送达的或者未送达指定地点的响应文件，采购人不予受理。</w:t>
      </w:r>
    </w:p>
    <w:p w14:paraId="1AAB9C0F">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5.自主磋商</w:t>
      </w:r>
    </w:p>
    <w:p w14:paraId="630E049C">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5.1开启时间和地点</w:t>
      </w:r>
    </w:p>
    <w:p w14:paraId="7835841C">
      <w:pPr>
        <w:spacing w:line="360" w:lineRule="auto"/>
        <w:ind w:firstLine="381" w:firstLineChars="15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采购人在本章供应商须知前附表规定的磋商截止时间和供应商须知前附表规定的地点进行磋商，届时请供应商法定代表人或其授权代表务必出席磋商会议，未出席视为放弃此次磋商。</w:t>
      </w:r>
    </w:p>
    <w:p w14:paraId="19D0E860">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5.2磋商程序</w:t>
      </w:r>
    </w:p>
    <w:p w14:paraId="070FF98C">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5.2.1提交首次响应文件截止，宣布磋商会议开始；</w:t>
      </w:r>
    </w:p>
    <w:p w14:paraId="64DB96E9">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5.2.2宣布磋商会议纪律；</w:t>
      </w:r>
    </w:p>
    <w:p w14:paraId="020504E8">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5.2.3开标时，各供应商应在规定时间内对所有的响应文件进行检验密封情况；开标时，采购人将不进行唱标，以最终报价为准；</w:t>
      </w:r>
    </w:p>
    <w:p w14:paraId="6E415E04">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5.2.4磋商（采购人将对磋商过程进行记录，以存档备查）。</w:t>
      </w:r>
    </w:p>
    <w:p w14:paraId="55115413">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5.3磋商</w:t>
      </w:r>
    </w:p>
    <w:p w14:paraId="1B994A2C">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5.3.1磋商小组</w:t>
      </w:r>
    </w:p>
    <w:p w14:paraId="514A245D">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(1)磋商工作由磋商小组独立进行，磋商小组由评审专家3人以上单数组成。</w:t>
      </w:r>
    </w:p>
    <w:p w14:paraId="132505EC">
      <w:pPr>
        <w:spacing w:line="360" w:lineRule="auto"/>
        <w:ind w:firstLine="424" w:firstLineChars="167"/>
        <w:rPr>
          <w:rFonts w:hint="eastAsia"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(2)评审专家</w:t>
      </w:r>
      <w:r>
        <w:rPr>
          <w:rFonts w:hint="eastAsia" w:ascii="宋体" w:hAnsi="宋体" w:eastAsia="宋体" w:cs="宋体"/>
          <w:color w:val="auto"/>
          <w:spacing w:val="-5"/>
          <w:sz w:val="24"/>
          <w:szCs w:val="24"/>
          <w:lang w:eastAsia="zh-CN"/>
        </w:rPr>
        <w:t>从相关评审专家库中，通过随机方式抽取</w:t>
      </w:r>
      <w:r>
        <w:rPr>
          <w:rFonts w:hint="eastAsia" w:asciiTheme="minorEastAsia" w:hAnsiTheme="minorEastAsia"/>
          <w:color w:val="auto"/>
          <w:spacing w:val="7"/>
          <w:sz w:val="24"/>
          <w:szCs w:val="24"/>
          <w:lang w:eastAsia="zh-CN"/>
        </w:rPr>
        <w:t>。</w:t>
      </w:r>
    </w:p>
    <w:p w14:paraId="12AD85E9">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5.3.2磋商</w:t>
      </w:r>
    </w:p>
    <w:p w14:paraId="608E07CF">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 磋商小组成员应当按照客观、公正、审慎的原则，根据自主磋商文件第三章规定的评审程序、评审方法和评审标准进行独立评审。未实质性响应磋商文件的响应文件按无效响应处理，磋商小组应当告知提交响应文件的供应商。</w:t>
      </w:r>
    </w:p>
    <w:p w14:paraId="2EAB0A4A">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 自主磋商文件内容违反国家有关强制性规定的，磋商小组应当停止评审并向采购人说明情况。</w:t>
      </w:r>
    </w:p>
    <w:p w14:paraId="1159BAF0">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5.3.3评审报告</w:t>
      </w:r>
    </w:p>
    <w:p w14:paraId="534BBE2A">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磋商小组应当根据评审记录和评审结果编写评审报告，其主要内容包括：</w:t>
      </w:r>
    </w:p>
    <w:p w14:paraId="04D990D6">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 邀请供应商参加采购活动的具体方式和相关情况；</w:t>
      </w:r>
    </w:p>
    <w:p w14:paraId="3F7494C9">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 响应文件开启日期和地点；</w:t>
      </w:r>
    </w:p>
    <w:p w14:paraId="609C8DA8">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 获取自主磋商文件的供应商名单和磋商小组成员名单；</w:t>
      </w:r>
    </w:p>
    <w:p w14:paraId="42E57571">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(4) 评审情况记录和说明，包括对供应商的资格审查情况、供应商响应文件评审情况、磋商情况、报价情况等；</w:t>
      </w:r>
    </w:p>
    <w:p w14:paraId="0DCCE51F">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 提出的成交候选人的排序名单及理由。</w:t>
      </w:r>
    </w:p>
    <w:p w14:paraId="25CA87BD">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EEC6AFE">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评审完成后，磋商小组应当向采购人提交书面评审报告和成交候选人名单。磋商小组推荐成交候选人的人数见供应商须知前附表。</w:t>
      </w:r>
    </w:p>
    <w:p w14:paraId="7CA3C754">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5.4磋商过程的保密性</w:t>
      </w:r>
    </w:p>
    <w:p w14:paraId="6838619F">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5.4.1磋商期间，直到授予成交人合同止，凡是与磋商响应文件审查、澄清、评价、比较以及推荐成交人等方面的情况，均不得向供应商或其他无关的人员透露。</w:t>
      </w:r>
    </w:p>
    <w:p w14:paraId="44085602">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5.4.2在磋商过程中，供应商如向磋商小组成员施加任何影响，都将会导致其磋商被拒绝，政府采购监管部门将记录其不良行为。</w:t>
      </w:r>
    </w:p>
    <w:p w14:paraId="7ED480A5">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5.5终止自主磋商采购活动</w:t>
      </w:r>
    </w:p>
    <w:p w14:paraId="5E311062">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出现下列情形之一的，采购人应当终止自主磋商采购活动，发布项目终止公告并说明原因，重新开展采购活动：</w:t>
      </w:r>
    </w:p>
    <w:p w14:paraId="5AB0CD8B">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(1)因情况变化，不再符合规定的自主磋商采购方式适用情形的；</w:t>
      </w:r>
    </w:p>
    <w:p w14:paraId="36693AA3">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(2)出现影响采购公正的违法、违规行为的；</w:t>
      </w:r>
    </w:p>
    <w:p w14:paraId="01FE789C">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(3）在采购过程中符合要求的供应商或者报价未超过采购预算的供应商不足3家的。</w:t>
      </w:r>
    </w:p>
    <w:p w14:paraId="1ED9A866">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5.6确定成交人</w:t>
      </w:r>
    </w:p>
    <w:p w14:paraId="2D3EF44D">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5.6.1采购人应当自收到评审报告之日起5个工作日内在评审报告推荐的成交候选人中按顺序确定成交人。成交候选人并列的，由采购人采取随机抽取的方式确定成交人。</w:t>
      </w:r>
    </w:p>
    <w:p w14:paraId="27B99E86">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5.6.2采购人也可以书面授权磋商小组直接确定成交人。磋商小组直接确定成交人的应在自主磋商文件中写明。</w:t>
      </w:r>
    </w:p>
    <w:p w14:paraId="08C45D8B">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5.7成交结果公告</w:t>
      </w:r>
    </w:p>
    <w:p w14:paraId="204D8F8E">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5.7.1采购人自成交人确定之日起 2个工作日内，在公告发布的同一媒介上公告成交结果，同时向成交人发出成交通知书，并将自主磋商文件随成交结果同时公告，公告期限1个工作日。</w:t>
      </w:r>
    </w:p>
    <w:p w14:paraId="5AD84225">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5.8成交通知书</w:t>
      </w:r>
    </w:p>
    <w:p w14:paraId="5CB5E649">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在公告成交结果的同时，采购人向成交人发出成交通知书，成交通知书将作为进行合同磋商和签订合同的依据。</w:t>
      </w:r>
    </w:p>
    <w:p w14:paraId="1377320C">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5.9履约保证金</w:t>
      </w:r>
    </w:p>
    <w:p w14:paraId="006700B3">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5.9.1成交人应按供应商须知前附表规定的形式、金额和自主磋商文件第四章“合同”规 定的履约保证金格式向采购人提交履约保证金。履约保证金不超过采购合同金额的10%。联合体成交的，其履约保证金以联合体各方或者联合体中牵头人的名义提交。</w:t>
      </w:r>
    </w:p>
    <w:p w14:paraId="20311CD8">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5.9.2成交人不能按本章第 5.9.1 项要求提交履约保证金的，视为放弃成交，其磋商保证金不予退还，给采购人造成的损失超过磋商保证金数额的，成交人还应当对超过部分予以赔偿。</w:t>
      </w:r>
    </w:p>
    <w:p w14:paraId="69CF4BEF">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6.授予合同</w:t>
      </w:r>
    </w:p>
    <w:p w14:paraId="60458F47">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6.1采购人自成交通知书发出之日起</w:t>
      </w:r>
      <w:r>
        <w:rPr>
          <w:rFonts w:hint="eastAsia" w:asciiTheme="minorEastAsia" w:hAnsiTheme="minorEastAsia"/>
          <w:color w:val="auto"/>
          <w:spacing w:val="7"/>
          <w:sz w:val="24"/>
          <w:szCs w:val="24"/>
          <w:lang w:val="en-US" w:eastAsia="zh-CN"/>
        </w:rPr>
        <w:t>15</w:t>
      </w:r>
      <w:r>
        <w:rPr>
          <w:rFonts w:hint="eastAsia" w:asciiTheme="minorEastAsia" w:hAnsiTheme="minorEastAsia"/>
          <w:color w:val="auto"/>
          <w:spacing w:val="7"/>
          <w:sz w:val="24"/>
          <w:szCs w:val="24"/>
          <w:lang w:eastAsia="zh-CN"/>
        </w:rPr>
        <w:t>日内，按照自主磋商文件和成交人响应文件的规定，与成交人签订书面合同。所签订的合同不得对自主磋商文件确定的事项和成交人响应文件作实质性修改。</w:t>
      </w:r>
    </w:p>
    <w:p w14:paraId="365A7EEB">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6.2自主磋商文件、成交人的响应文件和澄清文件等，均应作为签约的合同文本的基础。</w:t>
      </w:r>
    </w:p>
    <w:p w14:paraId="3945BF15">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6.3政府采购合同包括采购人与成交人的名称和住所、标的、数量、质量、价款或者报酬、履行期限及地点和方式、验收要求、违约责任、解决争议的方法等内容。</w:t>
      </w:r>
    </w:p>
    <w:p w14:paraId="7C182D9D">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6.4如成交人不按本章第6.1项约定签订合同，采购人将报请取消其成交决定。采购人可按照磋商小组推荐的成交候选人名单排序，确定下一候选人为成交人或者重新采购。</w:t>
      </w:r>
    </w:p>
    <w:p w14:paraId="4EF1236A">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7.纪律和监督</w:t>
      </w:r>
    </w:p>
    <w:p w14:paraId="3E9D131B">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7.1对采购人的纪律要求</w:t>
      </w:r>
    </w:p>
    <w:p w14:paraId="6EE9B8D1">
      <w:pPr>
        <w:spacing w:line="360" w:lineRule="auto"/>
        <w:ind w:firstLine="508" w:firstLineChars="20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采购人不得泄漏自主磋商中应当保密的情况和资料，不得与供应商串通损害国家利益、社会公共利益或者他人合法权益。</w:t>
      </w:r>
    </w:p>
    <w:p w14:paraId="04895CCA">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7.2对供应商的纪律要求</w:t>
      </w:r>
    </w:p>
    <w:p w14:paraId="66E6122E">
      <w:pPr>
        <w:spacing w:line="360" w:lineRule="auto"/>
        <w:ind w:firstLine="381" w:firstLineChars="15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供应商不得相互串通或者与采购人串通，不得向采购人或者磋商小组成员行贿谋取成交，不得以他人名义磋商或者以其他方式弄虚作假骗取成交；供应商不得以任何方式干扰、影响磋商工作。</w:t>
      </w:r>
    </w:p>
    <w:p w14:paraId="674C1C02">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7.3对磋商小组成员的纪律要求</w:t>
      </w:r>
    </w:p>
    <w:p w14:paraId="61C500B5">
      <w:pPr>
        <w:spacing w:line="360" w:lineRule="auto"/>
        <w:ind w:firstLine="381" w:firstLineChars="15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磋商小组成员不得收受他人的财物或者其他好处，不得向他人透漏对磋商响应文件的评审和比较、成交候选人的推荐情况以及与磋商有关的其他情况。在磋商活动中，磋商小组成员不得擅离职守，影响磋商程序正常进行。</w:t>
      </w:r>
    </w:p>
    <w:p w14:paraId="54F264F3">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7.4对与磋商活动有关的工作人员的纪律要求</w:t>
      </w:r>
    </w:p>
    <w:p w14:paraId="3AC0AE7F">
      <w:pPr>
        <w:spacing w:line="360" w:lineRule="auto"/>
        <w:ind w:firstLine="508" w:firstLineChars="20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与磋商活动有关的工作人员不得收受他人的财物或者其他好处，不得向他人透漏对磋商响应文件的评审和比较、成交候选人的推荐情况以及与磋商有关的其他情况。在磋商活动中，与磋商活动有关的工作人员不得擅离职守，影响磋商程序正常进行。</w:t>
      </w:r>
    </w:p>
    <w:p w14:paraId="09DB1621">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7.5询问、质疑和投诉</w:t>
      </w:r>
    </w:p>
    <w:p w14:paraId="2AB8943A">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7.5.1供应商或有关当事人对磋商过程、成交结果有异议的，可以向采购人提出询问。</w:t>
      </w:r>
    </w:p>
    <w:p w14:paraId="2B3262ED">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7.5.2采购人应当在三个工作日内对供应商依法提出的询问作出答复。</w:t>
      </w:r>
    </w:p>
    <w:p w14:paraId="34C791E6">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7.5.3供应商认为自主磋商文件、采购过程使自己的权益受到损害的，可以在知道或者应知其权益受到损害之日起七个工作日内，以书面形式向采购人提出质疑。</w:t>
      </w:r>
    </w:p>
    <w:p w14:paraId="24CC9900">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7.5.4供应商认为成交结果使自己的权益受到损害的，可以在成交结果公告期限届满之日起七个工作日内，以书面形式向采购人提出质疑，接收质疑函联系部门、电话及地址详见自主磋商公告。在法定质疑期内供应商针对同一采购程序环节的质疑应当一次性提出。</w:t>
      </w:r>
    </w:p>
    <w:p w14:paraId="38D9CA4B">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7.5.5采购人应当在收到供应商的书面质疑后七个工作日内作出答复，并以书面形式通知质疑供应商和其他有关供应商，但答复的内容不得涉及商业秘密。</w:t>
      </w:r>
    </w:p>
    <w:p w14:paraId="7A388C43">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7.5.6质疑单位对采购人的答复不满意或者采购人未在规定的时间内作出答复的，可以在答复期满后十五个工作日内向同级政府采购监督管理部门投诉。</w:t>
      </w:r>
    </w:p>
    <w:p w14:paraId="161BD03B">
      <w:pPr>
        <w:spacing w:line="360" w:lineRule="auto"/>
        <w:ind w:firstLine="424" w:firstLineChars="167"/>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7.5.7供应商质疑、投诉应当有明确的请求和必要的证明材料。供应商投诉的事项不得超出已质疑事项的范围。</w:t>
      </w:r>
    </w:p>
    <w:p w14:paraId="72F714E7">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8.政府采购政策</w:t>
      </w:r>
    </w:p>
    <w:p w14:paraId="3FD7A744">
      <w:pPr>
        <w:spacing w:line="360" w:lineRule="auto"/>
        <w:ind w:firstLine="254" w:firstLineChars="10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8.1促进中小型企业发展，必须执行财政部、工信部印发的《政府采购促进中小企业发展管理办法》，参加政府采购活动的中小企业应当提供《中小企业声明函》，未填写中小企业声明函的在评审过程中不予认可；参加政府采购活动的残疾人福利性单位应当提供《残疾人福利性单位声明函》，未填写残疾人福利性单位声明函的在评审过程中不予认可；参加政府采购活动的监狱企业，未提供由省级以上监狱管理局、戒毒管理局（含新疆生产建设兵团）出具的属于监狱企业的证明文件不予认可。</w:t>
      </w:r>
    </w:p>
    <w:p w14:paraId="1F8E5B9D">
      <w:pPr>
        <w:spacing w:line="360" w:lineRule="auto"/>
        <w:ind w:firstLine="381" w:firstLineChars="150"/>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8.2开源节流，执行低价优先的采购政策规定。</w:t>
      </w:r>
    </w:p>
    <w:p w14:paraId="31C78416">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9.信用记录</w:t>
      </w:r>
    </w:p>
    <w:p w14:paraId="6260FD52">
      <w:pPr>
        <w:spacing w:line="360" w:lineRule="auto"/>
        <w:ind w:firstLine="480" w:firstLineChars="200"/>
        <w:rPr>
          <w:rFonts w:asciiTheme="minorEastAsia" w:hAnsiTheme="minorEastAsia"/>
          <w:color w:val="auto"/>
          <w:spacing w:val="7"/>
          <w:sz w:val="24"/>
          <w:szCs w:val="24"/>
          <w:lang w:eastAsia="zh-CN"/>
        </w:rPr>
      </w:pPr>
      <w:r>
        <w:rPr>
          <w:rFonts w:hint="eastAsia" w:ascii="宋体" w:hAnsi="宋体" w:eastAsia="宋体"/>
          <w:color w:val="auto"/>
          <w:sz w:val="24"/>
          <w:szCs w:val="24"/>
          <w:lang w:eastAsia="zh-CN"/>
        </w:rPr>
        <w:t>根据《关于在政府采购活动中查询及使用信用记录有关问题的通知》 (财库[2016]125 号)的规定，对列入失信被执行人、重大税收违法失信主体、政府采购严重违法失信行为记录名单及其他不符合《中华人民共和国政府采购法》第二十二条规定条件的供应商，拒绝参与本项目政府采购活动。（</w:t>
      </w:r>
      <w:r>
        <w:rPr>
          <w:rFonts w:hint="eastAsia" w:ascii="宋体" w:hAnsi="宋体" w:eastAsia="宋体" w:cs="宋体"/>
          <w:color w:val="auto"/>
          <w:sz w:val="24"/>
          <w:lang w:eastAsia="zh-CN"/>
        </w:rPr>
        <w:t>采购人在投标截止时间之后将对所有参与本项目响应人的信用情况（失信被执行人、重大税收违法案件当事人名单（即重大税收违法失信主体）、政府采购严重违法失信行为记录名单）进行查询、打印留存。若查询到响应人有相关负面信息的，则该响应人的投标视为无效</w:t>
      </w:r>
      <w:r>
        <w:rPr>
          <w:rFonts w:hint="eastAsia" w:ascii="宋体" w:hAnsi="宋体" w:eastAsia="宋体"/>
          <w:color w:val="auto"/>
          <w:sz w:val="24"/>
          <w:szCs w:val="24"/>
          <w:lang w:eastAsia="zh-CN"/>
        </w:rPr>
        <w:t>）</w:t>
      </w:r>
      <w:r>
        <w:rPr>
          <w:rFonts w:hint="eastAsia" w:asciiTheme="minorEastAsia" w:hAnsiTheme="minorEastAsia"/>
          <w:color w:val="auto"/>
          <w:spacing w:val="7"/>
          <w:sz w:val="24"/>
          <w:szCs w:val="24"/>
          <w:lang w:eastAsia="zh-CN"/>
        </w:rPr>
        <w:t>。信用信息查询记录和证据将同采购文件等资料一同归档保存。</w:t>
      </w:r>
    </w:p>
    <w:p w14:paraId="477B4C9E">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10.需要补充的其他内容</w:t>
      </w:r>
    </w:p>
    <w:p w14:paraId="5DF45F32">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需要补充的其他内容：见供应商须知前附表。</w:t>
      </w:r>
    </w:p>
    <w:p w14:paraId="6D51757A">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附件1：</w:t>
      </w:r>
    </w:p>
    <w:p w14:paraId="2079A2ED">
      <w:pPr>
        <w:shd w:val="clear" w:color="auto" w:fill="FFFFFF"/>
        <w:kinsoku/>
        <w:autoSpaceDE/>
        <w:autoSpaceDN/>
        <w:adjustRightInd/>
        <w:snapToGrid/>
        <w:spacing w:line="360" w:lineRule="auto"/>
        <w:jc w:val="center"/>
        <w:textAlignment w:val="auto"/>
        <w:rPr>
          <w:rFonts w:ascii="宋体" w:hAnsi="宋体" w:eastAsia="宋体" w:cs="宋体"/>
          <w:b/>
          <w:bCs/>
          <w:snapToGrid/>
          <w:color w:val="auto"/>
          <w:spacing w:val="8"/>
          <w:sz w:val="28"/>
          <w:szCs w:val="28"/>
          <w:shd w:val="clear" w:color="auto" w:fill="FFFFFF"/>
          <w:lang w:eastAsia="zh-CN"/>
        </w:rPr>
      </w:pPr>
      <w:r>
        <w:rPr>
          <w:rFonts w:hint="eastAsia" w:ascii="宋体" w:hAnsi="宋体" w:eastAsia="宋体" w:cs="宋体"/>
          <w:b/>
          <w:bCs/>
          <w:snapToGrid/>
          <w:color w:val="auto"/>
          <w:spacing w:val="8"/>
          <w:sz w:val="28"/>
          <w:szCs w:val="28"/>
          <w:shd w:val="clear" w:color="auto" w:fill="FFFFFF"/>
          <w:lang w:eastAsia="zh-CN"/>
        </w:rPr>
        <w:t>大中小微型企业划分标准</w:t>
      </w:r>
    </w:p>
    <w:tbl>
      <w:tblPr>
        <w:tblStyle w:val="23"/>
        <w:tblW w:w="9709" w:type="dxa"/>
        <w:jc w:val="center"/>
        <w:shd w:val="clear" w:color="auto" w:fill="FFFFFF"/>
        <w:tblLayout w:type="fixed"/>
        <w:tblCellMar>
          <w:top w:w="0" w:type="dxa"/>
          <w:left w:w="0" w:type="dxa"/>
          <w:bottom w:w="0" w:type="dxa"/>
          <w:right w:w="0" w:type="dxa"/>
        </w:tblCellMar>
      </w:tblPr>
      <w:tblGrid>
        <w:gridCol w:w="1214"/>
        <w:gridCol w:w="1568"/>
        <w:gridCol w:w="1023"/>
        <w:gridCol w:w="1350"/>
        <w:gridCol w:w="1855"/>
        <w:gridCol w:w="1691"/>
        <w:gridCol w:w="1008"/>
      </w:tblGrid>
      <w:tr w14:paraId="7B0DA2B9">
        <w:tblPrEx>
          <w:shd w:val="clear" w:color="auto" w:fill="FFFFFF"/>
          <w:tblCellMar>
            <w:top w:w="0" w:type="dxa"/>
            <w:left w:w="0" w:type="dxa"/>
            <w:bottom w:w="0" w:type="dxa"/>
            <w:right w:w="0" w:type="dxa"/>
          </w:tblCellMar>
        </w:tblPrEx>
        <w:trPr>
          <w:trHeight w:val="615" w:hRule="atLeast"/>
          <w:jc w:val="center"/>
        </w:trPr>
        <w:tc>
          <w:tcPr>
            <w:tcW w:w="1214" w:type="dxa"/>
            <w:tcBorders>
              <w:top w:val="single" w:color="4F81BD" w:sz="6" w:space="0"/>
              <w:left w:val="single" w:color="4F81BD" w:sz="6" w:space="0"/>
              <w:bottom w:val="single" w:color="FFFFFF" w:sz="18" w:space="0"/>
              <w:right w:val="single" w:color="4F81BD" w:sz="6" w:space="0"/>
            </w:tcBorders>
            <w:shd w:val="clear" w:color="auto" w:fill="4F81BD"/>
            <w:noWrap/>
            <w:tcMar>
              <w:left w:w="105" w:type="dxa"/>
              <w:right w:w="105" w:type="dxa"/>
            </w:tcMar>
            <w:vAlign w:val="center"/>
          </w:tcPr>
          <w:p w14:paraId="0F4D570B">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b/>
                <w:bCs/>
                <w:snapToGrid/>
                <w:color w:val="auto"/>
                <w:spacing w:val="8"/>
                <w:kern w:val="2"/>
                <w:lang w:eastAsia="zh-CN"/>
              </w:rPr>
              <w:t>行业名称</w:t>
            </w:r>
          </w:p>
        </w:tc>
        <w:tc>
          <w:tcPr>
            <w:tcW w:w="1568" w:type="dxa"/>
            <w:tcBorders>
              <w:top w:val="single" w:color="4F81BD" w:sz="6" w:space="0"/>
              <w:left w:val="nil"/>
              <w:bottom w:val="single" w:color="FFFFFF" w:sz="18" w:space="0"/>
              <w:right w:val="single" w:color="4F81BD" w:sz="6" w:space="0"/>
            </w:tcBorders>
            <w:shd w:val="clear" w:color="auto" w:fill="4F81BD"/>
            <w:noWrap/>
            <w:tcMar>
              <w:left w:w="105" w:type="dxa"/>
              <w:right w:w="105" w:type="dxa"/>
            </w:tcMar>
            <w:vAlign w:val="center"/>
          </w:tcPr>
          <w:p w14:paraId="552645D1">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b/>
                <w:bCs/>
                <w:snapToGrid/>
                <w:color w:val="auto"/>
                <w:spacing w:val="8"/>
                <w:kern w:val="2"/>
                <w:lang w:eastAsia="zh-CN"/>
              </w:rPr>
              <w:t>指标名称</w:t>
            </w:r>
          </w:p>
        </w:tc>
        <w:tc>
          <w:tcPr>
            <w:tcW w:w="1023" w:type="dxa"/>
            <w:tcBorders>
              <w:top w:val="single" w:color="4F81BD" w:sz="6" w:space="0"/>
              <w:left w:val="nil"/>
              <w:bottom w:val="single" w:color="FFFFFF" w:sz="18" w:space="0"/>
              <w:right w:val="single" w:color="4F81BD" w:sz="6" w:space="0"/>
            </w:tcBorders>
            <w:shd w:val="clear" w:color="auto" w:fill="4F81BD"/>
            <w:noWrap/>
            <w:tcMar>
              <w:left w:w="105" w:type="dxa"/>
              <w:right w:w="105" w:type="dxa"/>
            </w:tcMar>
            <w:vAlign w:val="center"/>
          </w:tcPr>
          <w:p w14:paraId="5CFC325C">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b/>
                <w:bCs/>
                <w:snapToGrid/>
                <w:color w:val="auto"/>
                <w:spacing w:val="8"/>
                <w:kern w:val="2"/>
                <w:lang w:eastAsia="zh-CN"/>
              </w:rPr>
              <w:t>计量单位</w:t>
            </w:r>
          </w:p>
        </w:tc>
        <w:tc>
          <w:tcPr>
            <w:tcW w:w="1350" w:type="dxa"/>
            <w:tcBorders>
              <w:top w:val="single" w:color="4F81BD" w:sz="6" w:space="0"/>
              <w:left w:val="nil"/>
              <w:bottom w:val="single" w:color="FFFFFF" w:sz="18" w:space="0"/>
              <w:right w:val="single" w:color="4F81BD" w:sz="6" w:space="0"/>
            </w:tcBorders>
            <w:shd w:val="clear" w:color="auto" w:fill="4F81BD"/>
            <w:noWrap/>
            <w:tcMar>
              <w:left w:w="105" w:type="dxa"/>
              <w:right w:w="105" w:type="dxa"/>
            </w:tcMar>
            <w:vAlign w:val="center"/>
          </w:tcPr>
          <w:p w14:paraId="7C171E9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b/>
                <w:bCs/>
                <w:snapToGrid/>
                <w:color w:val="auto"/>
                <w:spacing w:val="8"/>
                <w:kern w:val="2"/>
                <w:lang w:eastAsia="zh-CN"/>
              </w:rPr>
              <w:t>大型</w:t>
            </w:r>
          </w:p>
        </w:tc>
        <w:tc>
          <w:tcPr>
            <w:tcW w:w="1855" w:type="dxa"/>
            <w:tcBorders>
              <w:top w:val="single" w:color="4F81BD" w:sz="6" w:space="0"/>
              <w:left w:val="nil"/>
              <w:bottom w:val="single" w:color="FFFFFF" w:sz="18" w:space="0"/>
              <w:right w:val="single" w:color="4F81BD" w:sz="6" w:space="0"/>
            </w:tcBorders>
            <w:shd w:val="clear" w:color="auto" w:fill="4F81BD"/>
            <w:noWrap/>
            <w:tcMar>
              <w:left w:w="105" w:type="dxa"/>
              <w:right w:w="105" w:type="dxa"/>
            </w:tcMar>
            <w:vAlign w:val="center"/>
          </w:tcPr>
          <w:p w14:paraId="3025650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b/>
                <w:bCs/>
                <w:snapToGrid/>
                <w:color w:val="auto"/>
                <w:spacing w:val="8"/>
                <w:kern w:val="2"/>
                <w:lang w:eastAsia="zh-CN"/>
              </w:rPr>
              <w:t>中型</w:t>
            </w:r>
          </w:p>
        </w:tc>
        <w:tc>
          <w:tcPr>
            <w:tcW w:w="1691" w:type="dxa"/>
            <w:tcBorders>
              <w:top w:val="single" w:color="4F81BD" w:sz="6" w:space="0"/>
              <w:left w:val="nil"/>
              <w:bottom w:val="single" w:color="FFFFFF" w:sz="18" w:space="0"/>
              <w:right w:val="single" w:color="4F81BD" w:sz="6" w:space="0"/>
            </w:tcBorders>
            <w:shd w:val="clear" w:color="auto" w:fill="4F81BD"/>
            <w:noWrap/>
            <w:tcMar>
              <w:left w:w="105" w:type="dxa"/>
              <w:right w:w="105" w:type="dxa"/>
            </w:tcMar>
            <w:vAlign w:val="center"/>
          </w:tcPr>
          <w:p w14:paraId="5E5735A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b/>
                <w:bCs/>
                <w:snapToGrid/>
                <w:color w:val="auto"/>
                <w:spacing w:val="8"/>
                <w:kern w:val="2"/>
                <w:lang w:eastAsia="zh-CN"/>
              </w:rPr>
              <w:t>小型</w:t>
            </w:r>
          </w:p>
        </w:tc>
        <w:tc>
          <w:tcPr>
            <w:tcW w:w="1008" w:type="dxa"/>
            <w:tcBorders>
              <w:top w:val="single" w:color="4F81BD" w:sz="6" w:space="0"/>
              <w:left w:val="nil"/>
              <w:bottom w:val="single" w:color="FFFFFF" w:sz="18" w:space="0"/>
              <w:right w:val="single" w:color="4F81BD" w:sz="6" w:space="0"/>
            </w:tcBorders>
            <w:shd w:val="clear" w:color="auto" w:fill="4F81BD"/>
            <w:noWrap/>
            <w:tcMar>
              <w:left w:w="105" w:type="dxa"/>
              <w:right w:w="105" w:type="dxa"/>
            </w:tcMar>
            <w:vAlign w:val="center"/>
          </w:tcPr>
          <w:p w14:paraId="6034AD3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b/>
                <w:bCs/>
                <w:snapToGrid/>
                <w:color w:val="auto"/>
                <w:spacing w:val="8"/>
                <w:kern w:val="2"/>
                <w:lang w:eastAsia="zh-CN"/>
              </w:rPr>
              <w:t>微型</w:t>
            </w:r>
          </w:p>
        </w:tc>
      </w:tr>
      <w:tr w14:paraId="55F5B117">
        <w:tblPrEx>
          <w:shd w:val="clear" w:color="auto" w:fill="FFFFFF"/>
          <w:tblCellMar>
            <w:top w:w="0" w:type="dxa"/>
            <w:left w:w="0" w:type="dxa"/>
            <w:bottom w:w="0" w:type="dxa"/>
            <w:right w:w="0" w:type="dxa"/>
          </w:tblCellMar>
        </w:tblPrEx>
        <w:trPr>
          <w:trHeight w:val="390" w:hRule="atLeast"/>
          <w:jc w:val="center"/>
        </w:trPr>
        <w:tc>
          <w:tcPr>
            <w:tcW w:w="1214" w:type="dxa"/>
            <w:tcBorders>
              <w:top w:val="nil"/>
              <w:left w:val="single" w:color="4F81BD" w:sz="6" w:space="0"/>
              <w:bottom w:val="single" w:color="4F81BD" w:sz="6" w:space="0"/>
              <w:right w:val="single" w:color="4F81BD" w:sz="6" w:space="0"/>
            </w:tcBorders>
            <w:shd w:val="clear" w:color="auto" w:fill="B8CCE4"/>
            <w:noWrap/>
            <w:tcMar>
              <w:left w:w="105" w:type="dxa"/>
              <w:right w:w="105" w:type="dxa"/>
            </w:tcMar>
            <w:vAlign w:val="center"/>
          </w:tcPr>
          <w:p w14:paraId="2A2363BC">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农、林、牧、渔业</w:t>
            </w: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AE8574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E536A71">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E98A01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Y≥20000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3C0745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500≤Y＜20000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9C3332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50≤Y＜500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D7313A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Y＜50</w:t>
            </w:r>
          </w:p>
        </w:tc>
      </w:tr>
      <w:tr w14:paraId="5A35ED8C">
        <w:tblPrEx>
          <w:shd w:val="clear" w:color="auto" w:fill="FFFFFF"/>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04A4EDC5">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工业 *</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66C8A1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6035D1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66CB68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6E22EC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300≤X＜1000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E09F21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20≤X＜300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D84525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X＜20</w:t>
            </w:r>
          </w:p>
        </w:tc>
      </w:tr>
      <w:tr w14:paraId="1929FC0F">
        <w:tblPrEx>
          <w:shd w:val="clear" w:color="auto" w:fill="FFFFFF"/>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6EAD7137">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D4C114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221D111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FA1A4B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Y≥40000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93C0D9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2000≤Y＜40000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41A354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300≤Y＜2000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5AA76D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Y＜300</w:t>
            </w:r>
          </w:p>
        </w:tc>
      </w:tr>
      <w:tr w14:paraId="42A833AB">
        <w:tblPrEx>
          <w:shd w:val="clear" w:color="auto" w:fill="FFFFFF"/>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7B3A557C">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建筑业</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B7EA62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8C61D0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E016AA1">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Y≥80000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36163B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6000≤Y＜80000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9DA545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300≤Y＜6000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B2FCBB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Y＜300</w:t>
            </w:r>
          </w:p>
        </w:tc>
      </w:tr>
      <w:tr w14:paraId="41CE3FB0">
        <w:tblPrEx>
          <w:shd w:val="clear" w:color="auto" w:fill="FFFFFF"/>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13221B58">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D5033F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资产总额(Z)</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20A8168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376F2EF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Z≥80000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37E8500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5000≤Z＜80000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4D6E6E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300≤Z＜5000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F9B29D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Z＜300</w:t>
            </w:r>
          </w:p>
        </w:tc>
      </w:tr>
      <w:tr w14:paraId="0DA15438">
        <w:tblPrEx>
          <w:shd w:val="clear" w:color="auto" w:fill="FFFFFF"/>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526B5863">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批发业</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8115C0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C5EFBAB">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6521B3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X≥200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32867AB">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20≤X＜200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B468C2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5≤X＜20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D6AD78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X＜5</w:t>
            </w:r>
          </w:p>
        </w:tc>
      </w:tr>
      <w:tr w14:paraId="3DFB3F06">
        <w:tblPrEx>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073D9F5D">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2ECAC0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91339E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4D12044">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Y≥40000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5A7561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5000≤Y＜40000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FE1EF03">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1000≤Y＜5000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3DBD303">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Y＜1000</w:t>
            </w:r>
          </w:p>
        </w:tc>
      </w:tr>
      <w:tr w14:paraId="7F04CD7F">
        <w:tblPrEx>
          <w:shd w:val="clear" w:color="auto" w:fill="FFFFFF"/>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3CF0EF40">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零售业</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BA6ADF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BA07A3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3A3E17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X≥300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5EB925B">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50≤X＜300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0FC7E8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10≤X＜50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B32B3C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w:t>
            </w:r>
          </w:p>
        </w:tc>
      </w:tr>
      <w:tr w14:paraId="20078867">
        <w:tblPrEx>
          <w:shd w:val="clear" w:color="auto" w:fill="FFFFFF"/>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534D5A3E">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372FA64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0DF64F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279B662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Y≥20000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305368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500≤Y＜20000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93CACD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100≤Y＜500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C55B7B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w:t>
            </w:r>
          </w:p>
        </w:tc>
      </w:tr>
      <w:tr w14:paraId="0327ED23">
        <w:tblPrEx>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41218E40">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交通运输业 *</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A235B8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94C1DD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97DEC0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B025D0C">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300≤X＜1000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9CC0B4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20≤X＜300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23FB4A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X＜20</w:t>
            </w:r>
          </w:p>
        </w:tc>
      </w:tr>
      <w:tr w14:paraId="455EF739">
        <w:tblPrEx>
          <w:shd w:val="clear" w:color="auto" w:fill="FFFFFF"/>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7D30D98D">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319473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207E51BC">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1EE303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Y≥30000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091C4BC">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3000≤Y＜30000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F703FF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200≤Y＜3000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3839AF2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Y＜200</w:t>
            </w:r>
          </w:p>
        </w:tc>
      </w:tr>
      <w:tr w14:paraId="37D94414">
        <w:tblPrEx>
          <w:shd w:val="clear" w:color="auto" w:fill="FFFFFF"/>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2889B601">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仓储业*</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499958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CBEF22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81AE91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X≥200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16A0C3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100≤X＜200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2B9C23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20≤X＜100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7FE227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X＜20</w:t>
            </w:r>
          </w:p>
        </w:tc>
      </w:tr>
      <w:tr w14:paraId="74CC58BF">
        <w:tblPrEx>
          <w:shd w:val="clear" w:color="auto" w:fill="FFFFFF"/>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6F69D97D">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645ABE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76D202B">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4799AC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Y≥30000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20C273C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1000≤Y＜30000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25C0B5A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100≤Y＜1000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2ED4F03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w:t>
            </w:r>
          </w:p>
        </w:tc>
      </w:tr>
      <w:tr w14:paraId="3C3A19D6">
        <w:tblPrEx>
          <w:shd w:val="clear" w:color="auto" w:fill="FFFFFF"/>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3D8D49A2">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邮政业</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665622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9755431">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409384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B69D12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300≤X＜1000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4789BD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20≤X＜300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46A5D31">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X＜20</w:t>
            </w:r>
          </w:p>
        </w:tc>
      </w:tr>
      <w:tr w14:paraId="77D331EE">
        <w:tblPrEx>
          <w:shd w:val="clear" w:color="auto" w:fill="FFFFFF"/>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288DB36C">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D3AF50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A8161FB">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532FE7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Y≥30000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84EC89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2000≤Y＜30000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FE0DA99">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100≤Y＜2000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47647C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w:t>
            </w:r>
          </w:p>
        </w:tc>
      </w:tr>
      <w:tr w14:paraId="0E26A4FC">
        <w:tblPrEx>
          <w:shd w:val="clear" w:color="auto" w:fill="FFFFFF"/>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481FF693">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住宿业</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1C9B7B4">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04623F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4735C04">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X≥300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C1100A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100≤X＜300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FE4A791">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10≤X＜100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B619561">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w:t>
            </w:r>
          </w:p>
        </w:tc>
      </w:tr>
      <w:tr w14:paraId="2EF778D3">
        <w:tblPrEx>
          <w:shd w:val="clear" w:color="auto" w:fill="FFFFFF"/>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5DD02471">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7ECE9B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8F4015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B8D4D9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3723C7D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2000≤Y＜10000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204A1F4">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100≤Y＜2000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FC9185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w:t>
            </w:r>
          </w:p>
        </w:tc>
      </w:tr>
      <w:tr w14:paraId="3499EC87">
        <w:tblPrEx>
          <w:shd w:val="clear" w:color="auto" w:fill="FFFFFF"/>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44399A94">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餐饮业</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62D5B8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B64523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EB02B3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X≥300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954B22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100≤X＜300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1D3903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10≤X＜100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8F43CD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w:t>
            </w:r>
          </w:p>
        </w:tc>
      </w:tr>
      <w:tr w14:paraId="6182BFEC">
        <w:tblPrEx>
          <w:shd w:val="clear" w:color="auto" w:fill="FFFFFF"/>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4C5EC0F0">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13C31E3">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2C02E81">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4587E24">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3C6EEE4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2000≤Y＜10000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FA44EE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100≤Y＜2000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AC4F35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w:t>
            </w:r>
          </w:p>
        </w:tc>
      </w:tr>
      <w:tr w14:paraId="1CB85B15">
        <w:tblPrEx>
          <w:shd w:val="clear" w:color="auto" w:fill="FFFFFF"/>
          <w:tblCellMar>
            <w:top w:w="0" w:type="dxa"/>
            <w:left w:w="0" w:type="dxa"/>
            <w:bottom w:w="0" w:type="dxa"/>
            <w:right w:w="0" w:type="dxa"/>
          </w:tblCellMar>
        </w:tblPrEx>
        <w:trPr>
          <w:trHeight w:val="390"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1264B1CC">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信息传输业 *</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3109C6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185E59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1B00164">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X≥2000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094F161">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100≤X＜2000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602642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10≤X＜100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0294D4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w:t>
            </w:r>
          </w:p>
        </w:tc>
      </w:tr>
      <w:tr w14:paraId="75673D80">
        <w:tblPrEx>
          <w:shd w:val="clear" w:color="auto" w:fill="FFFFFF"/>
          <w:tblCellMar>
            <w:top w:w="0" w:type="dxa"/>
            <w:left w:w="0" w:type="dxa"/>
            <w:bottom w:w="0" w:type="dxa"/>
            <w:right w:w="0" w:type="dxa"/>
          </w:tblCellMar>
        </w:tblPrEx>
        <w:trPr>
          <w:trHeight w:val="390"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42BCB692">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05B4C2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8CA27A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0CF79F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3A00F71C">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1000≤Y＜100000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DA092E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100≤Y＜1000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8EBB15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w:t>
            </w:r>
          </w:p>
        </w:tc>
      </w:tr>
      <w:tr w14:paraId="7C426EDB">
        <w:tblPrEx>
          <w:shd w:val="clear" w:color="auto" w:fill="FFFFFF"/>
          <w:tblCellMar>
            <w:top w:w="0" w:type="dxa"/>
            <w:left w:w="0" w:type="dxa"/>
            <w:bottom w:w="0" w:type="dxa"/>
            <w:right w:w="0" w:type="dxa"/>
          </w:tblCellMar>
        </w:tblPrEx>
        <w:trPr>
          <w:trHeight w:val="345"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5D7BF615">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15"/>
                <w:lang w:eastAsia="zh-CN"/>
              </w:rPr>
              <w:t>软件和信息技术服</w:t>
            </w:r>
            <w:r>
              <w:rPr>
                <w:rFonts w:hint="eastAsia" w:ascii="宋体" w:hAnsi="宋体" w:eastAsia="宋体" w:cs="宋体"/>
                <w:snapToGrid/>
                <w:color w:val="auto"/>
                <w:spacing w:val="8"/>
                <w:lang w:eastAsia="zh-CN"/>
              </w:rPr>
              <w:t>务业</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C6A195C">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AD6C73B">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37B0D3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X≥300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ACE33E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100≤X＜300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276A2A5">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10≤X＜100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8D0F224">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w:t>
            </w:r>
          </w:p>
        </w:tc>
      </w:tr>
      <w:tr w14:paraId="45007850">
        <w:tblPrEx>
          <w:shd w:val="clear" w:color="auto" w:fill="FFFFFF"/>
          <w:tblCellMar>
            <w:top w:w="0" w:type="dxa"/>
            <w:left w:w="0" w:type="dxa"/>
            <w:bottom w:w="0" w:type="dxa"/>
            <w:right w:w="0" w:type="dxa"/>
          </w:tblCellMar>
        </w:tblPrEx>
        <w:trPr>
          <w:trHeight w:val="345"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33299EBF">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D69DBB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38E9676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0A92C2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65B0AFB">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1000≤Y＜10000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75E84C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50≤Y＜1000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5DF35BC">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Y＜50</w:t>
            </w:r>
          </w:p>
        </w:tc>
      </w:tr>
      <w:tr w14:paraId="5824A5A9">
        <w:tblPrEx>
          <w:shd w:val="clear" w:color="auto" w:fill="FFFFFF"/>
          <w:tblCellMar>
            <w:top w:w="0" w:type="dxa"/>
            <w:left w:w="0" w:type="dxa"/>
            <w:bottom w:w="0" w:type="dxa"/>
            <w:right w:w="0" w:type="dxa"/>
          </w:tblCellMar>
        </w:tblPrEx>
        <w:trPr>
          <w:trHeight w:val="345"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78439A8C">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房地产开发经营</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8932CB9">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7172B14">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83FF77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Y≥200000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B2874CB">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 1000≤Y＜200000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1F11BC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100≤Y＜1000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66131F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Y＜100</w:t>
            </w:r>
          </w:p>
        </w:tc>
      </w:tr>
      <w:tr w14:paraId="41634BF3">
        <w:tblPrEx>
          <w:shd w:val="clear" w:color="auto" w:fill="FFFFFF"/>
          <w:tblCellMar>
            <w:top w:w="0" w:type="dxa"/>
            <w:left w:w="0" w:type="dxa"/>
            <w:bottom w:w="0" w:type="dxa"/>
            <w:right w:w="0" w:type="dxa"/>
          </w:tblCellMar>
        </w:tblPrEx>
        <w:trPr>
          <w:trHeight w:val="345"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6412B5CA">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01D421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资产总额(Z)</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F39ECF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2F79C4B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Z≥10000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1877CB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5000≤Z＜10000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030411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2000≤Z＜5000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8E4A3A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Z＜2000</w:t>
            </w:r>
          </w:p>
        </w:tc>
      </w:tr>
      <w:tr w14:paraId="4A785218">
        <w:tblPrEx>
          <w:shd w:val="clear" w:color="auto" w:fill="FFFFFF"/>
          <w:tblCellMar>
            <w:top w:w="0" w:type="dxa"/>
            <w:left w:w="0" w:type="dxa"/>
            <w:bottom w:w="0" w:type="dxa"/>
            <w:right w:w="0" w:type="dxa"/>
          </w:tblCellMar>
        </w:tblPrEx>
        <w:trPr>
          <w:trHeight w:val="345"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356E8E01">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物业管理</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18D4A2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5F2572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C17D3B3">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7E70C0E">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300≤X＜1000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E72D44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100≤X＜300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2E0AAD5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X＜100</w:t>
            </w:r>
          </w:p>
        </w:tc>
      </w:tr>
      <w:tr w14:paraId="13AAA419">
        <w:tblPrEx>
          <w:shd w:val="clear" w:color="auto" w:fill="FFFFFF"/>
          <w:tblCellMar>
            <w:top w:w="0" w:type="dxa"/>
            <w:left w:w="0" w:type="dxa"/>
            <w:bottom w:w="0" w:type="dxa"/>
            <w:right w:w="0" w:type="dxa"/>
          </w:tblCellMar>
        </w:tblPrEx>
        <w:trPr>
          <w:trHeight w:val="345"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6AFBBF37">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11ABBEC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营业收入(Y)</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23A88773">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D4CA7D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Y≥5000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3BA5FB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1000≤Y＜5000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21C180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500≤Y＜1000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3ABBE60C">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Y＜500</w:t>
            </w:r>
          </w:p>
        </w:tc>
      </w:tr>
      <w:tr w14:paraId="23730855">
        <w:tblPrEx>
          <w:shd w:val="clear" w:color="auto" w:fill="FFFFFF"/>
          <w:tblCellMar>
            <w:top w:w="0" w:type="dxa"/>
            <w:left w:w="0" w:type="dxa"/>
            <w:bottom w:w="0" w:type="dxa"/>
            <w:right w:w="0" w:type="dxa"/>
          </w:tblCellMar>
        </w:tblPrEx>
        <w:trPr>
          <w:trHeight w:val="345" w:hRule="atLeast"/>
          <w:jc w:val="center"/>
        </w:trPr>
        <w:tc>
          <w:tcPr>
            <w:tcW w:w="1214" w:type="dxa"/>
            <w:vMerge w:val="restart"/>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74B54D83">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租赁和商务服务业</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58DE68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1D344B7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725B7C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X≥300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7401D58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100≤X＜300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CDEC745">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10≤X＜100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4E87DE4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w:t>
            </w:r>
          </w:p>
        </w:tc>
      </w:tr>
      <w:tr w14:paraId="71AA506E">
        <w:tblPrEx>
          <w:shd w:val="clear" w:color="auto" w:fill="FFFFFF"/>
          <w:tblCellMar>
            <w:top w:w="0" w:type="dxa"/>
            <w:left w:w="0" w:type="dxa"/>
            <w:bottom w:w="0" w:type="dxa"/>
            <w:right w:w="0" w:type="dxa"/>
          </w:tblCellMar>
        </w:tblPrEx>
        <w:trPr>
          <w:trHeight w:val="345" w:hRule="atLeast"/>
          <w:jc w:val="center"/>
        </w:trPr>
        <w:tc>
          <w:tcPr>
            <w:tcW w:w="1214" w:type="dxa"/>
            <w:vMerge w:val="continue"/>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7CB66AC6">
            <w:pPr>
              <w:widowControl w:val="0"/>
              <w:kinsoku/>
              <w:autoSpaceDE/>
              <w:autoSpaceDN/>
              <w:adjustRightInd/>
              <w:snapToGrid/>
              <w:spacing w:line="360" w:lineRule="auto"/>
              <w:jc w:val="both"/>
              <w:textAlignment w:val="auto"/>
              <w:rPr>
                <w:rFonts w:ascii="Times New Roman" w:hAnsi="Times New Roman" w:eastAsia="宋体" w:cs="Times New Roman"/>
                <w:snapToGrid/>
                <w:color w:val="auto"/>
                <w:spacing w:val="8"/>
                <w:kern w:val="2"/>
                <w:lang w:eastAsia="zh-CN"/>
              </w:rPr>
            </w:pPr>
          </w:p>
        </w:tc>
        <w:tc>
          <w:tcPr>
            <w:tcW w:w="156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522D1A7">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资产总额(Z)</w:t>
            </w:r>
          </w:p>
        </w:tc>
        <w:tc>
          <w:tcPr>
            <w:tcW w:w="1023"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0EC74E0A">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万元</w:t>
            </w:r>
          </w:p>
        </w:tc>
        <w:tc>
          <w:tcPr>
            <w:tcW w:w="1350"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496F81A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Z≥120000</w:t>
            </w:r>
          </w:p>
        </w:tc>
        <w:tc>
          <w:tcPr>
            <w:tcW w:w="1855"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73EB1C9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8000≤Z＜120000</w:t>
            </w:r>
          </w:p>
        </w:tc>
        <w:tc>
          <w:tcPr>
            <w:tcW w:w="1691"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6C00B21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100≤Z＜8000</w:t>
            </w:r>
          </w:p>
        </w:tc>
        <w:tc>
          <w:tcPr>
            <w:tcW w:w="1008" w:type="dxa"/>
            <w:tcBorders>
              <w:top w:val="nil"/>
              <w:left w:val="nil"/>
              <w:bottom w:val="single" w:color="4F81BD" w:sz="6" w:space="0"/>
              <w:right w:val="single" w:color="4F81BD" w:sz="6" w:space="0"/>
            </w:tcBorders>
            <w:shd w:val="clear" w:color="auto" w:fill="B8CCE4"/>
            <w:noWrap/>
            <w:tcMar>
              <w:left w:w="105" w:type="dxa"/>
              <w:right w:w="105" w:type="dxa"/>
            </w:tcMar>
            <w:vAlign w:val="center"/>
          </w:tcPr>
          <w:p w14:paraId="5F157C52">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Z＜100</w:t>
            </w:r>
          </w:p>
        </w:tc>
      </w:tr>
      <w:tr w14:paraId="78B68305">
        <w:tblPrEx>
          <w:shd w:val="clear" w:color="auto" w:fill="FFFFFF"/>
          <w:tblCellMar>
            <w:top w:w="0" w:type="dxa"/>
            <w:left w:w="0" w:type="dxa"/>
            <w:bottom w:w="0" w:type="dxa"/>
            <w:right w:w="0" w:type="dxa"/>
          </w:tblCellMar>
        </w:tblPrEx>
        <w:trPr>
          <w:trHeight w:val="390" w:hRule="atLeast"/>
          <w:jc w:val="center"/>
        </w:trPr>
        <w:tc>
          <w:tcPr>
            <w:tcW w:w="1214" w:type="dxa"/>
            <w:tcBorders>
              <w:top w:val="nil"/>
              <w:left w:val="single" w:color="4F81BD" w:sz="6" w:space="0"/>
              <w:bottom w:val="single" w:color="4F81BD" w:sz="6" w:space="0"/>
              <w:right w:val="single" w:color="4F81BD" w:sz="6" w:space="0"/>
            </w:tcBorders>
            <w:shd w:val="clear" w:color="auto" w:fill="FFFFFF"/>
            <w:noWrap/>
            <w:tcMar>
              <w:left w:w="105" w:type="dxa"/>
              <w:right w:w="105" w:type="dxa"/>
            </w:tcMar>
            <w:vAlign w:val="center"/>
          </w:tcPr>
          <w:p w14:paraId="0172EF4D">
            <w:pPr>
              <w:kinsoku/>
              <w:wordWrap w:val="0"/>
              <w:autoSpaceDE/>
              <w:autoSpaceDN/>
              <w:adjustRightInd/>
              <w:snapToGrid/>
              <w:spacing w:line="360" w:lineRule="auto"/>
              <w:jc w:val="both"/>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其他未列明行业 *</w:t>
            </w:r>
          </w:p>
        </w:tc>
        <w:tc>
          <w:tcPr>
            <w:tcW w:w="156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3B12AC46">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从业人员(X)</w:t>
            </w:r>
          </w:p>
        </w:tc>
        <w:tc>
          <w:tcPr>
            <w:tcW w:w="1023"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0A0CF15D">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人</w:t>
            </w:r>
          </w:p>
        </w:tc>
        <w:tc>
          <w:tcPr>
            <w:tcW w:w="1350"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60ECCF30">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X≥300</w:t>
            </w:r>
          </w:p>
        </w:tc>
        <w:tc>
          <w:tcPr>
            <w:tcW w:w="1855"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8CF9588">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100≤X＜300</w:t>
            </w:r>
          </w:p>
        </w:tc>
        <w:tc>
          <w:tcPr>
            <w:tcW w:w="1691"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B42781F">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10≤X＜100</w:t>
            </w:r>
          </w:p>
        </w:tc>
        <w:tc>
          <w:tcPr>
            <w:tcW w:w="1008" w:type="dxa"/>
            <w:tcBorders>
              <w:top w:val="nil"/>
              <w:left w:val="nil"/>
              <w:bottom w:val="single" w:color="4F81BD" w:sz="6" w:space="0"/>
              <w:right w:val="single" w:color="4F81BD" w:sz="6" w:space="0"/>
            </w:tcBorders>
            <w:shd w:val="clear" w:color="auto" w:fill="FFFFFF"/>
            <w:noWrap/>
            <w:tcMar>
              <w:left w:w="105" w:type="dxa"/>
              <w:right w:w="105" w:type="dxa"/>
            </w:tcMar>
            <w:vAlign w:val="center"/>
          </w:tcPr>
          <w:p w14:paraId="546A89C4">
            <w:pPr>
              <w:kinsoku/>
              <w:wordWrap w:val="0"/>
              <w:autoSpaceDE/>
              <w:autoSpaceDN/>
              <w:adjustRightInd/>
              <w:snapToGrid/>
              <w:spacing w:line="360" w:lineRule="auto"/>
              <w:jc w:val="center"/>
              <w:textAlignment w:val="auto"/>
              <w:rPr>
                <w:rFonts w:ascii="宋体" w:hAnsi="宋体" w:eastAsia="宋体" w:cs="宋体"/>
                <w:snapToGrid/>
                <w:color w:val="auto"/>
                <w:lang w:eastAsia="zh-CN"/>
              </w:rPr>
            </w:pPr>
            <w:r>
              <w:rPr>
                <w:rFonts w:hint="eastAsia" w:ascii="宋体" w:hAnsi="宋体" w:eastAsia="宋体" w:cs="宋体"/>
                <w:snapToGrid/>
                <w:color w:val="auto"/>
                <w:spacing w:val="8"/>
                <w:lang w:eastAsia="zh-CN"/>
              </w:rPr>
              <w:t>X＜10</w:t>
            </w:r>
          </w:p>
        </w:tc>
      </w:tr>
    </w:tbl>
    <w:p w14:paraId="479DC9B3">
      <w:pPr>
        <w:widowControl w:val="0"/>
        <w:kinsoku/>
        <w:autoSpaceDE/>
        <w:autoSpaceDN/>
        <w:adjustRightInd/>
        <w:snapToGrid/>
        <w:spacing w:line="360" w:lineRule="auto"/>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说明：</w:t>
      </w:r>
    </w:p>
    <w:p w14:paraId="40889F7F">
      <w:pPr>
        <w:widowControl w:val="0"/>
        <w:kinsoku/>
        <w:autoSpaceDE/>
        <w:autoSpaceDN/>
        <w:adjustRightInd/>
        <w:snapToGrid/>
        <w:spacing w:line="360" w:lineRule="auto"/>
        <w:ind w:firstLine="480" w:firstLineChars="200"/>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1.大型、中型和小型企业须同时满足所列指标的下限，否则下划一档；微型企业只须满足所列指标中的一项即可。</w:t>
      </w:r>
    </w:p>
    <w:p w14:paraId="49668F11">
      <w:pPr>
        <w:widowControl w:val="0"/>
        <w:numPr>
          <w:ilvl w:val="0"/>
          <w:numId w:val="1"/>
        </w:numPr>
        <w:kinsoku/>
        <w:autoSpaceDE/>
        <w:autoSpaceDN/>
        <w:adjustRightInd/>
        <w:snapToGrid/>
        <w:spacing w:line="360" w:lineRule="auto"/>
        <w:ind w:firstLine="480" w:firstLineChars="200"/>
        <w:jc w:val="both"/>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6D9F358">
      <w:pPr>
        <w:widowControl w:val="0"/>
        <w:numPr>
          <w:ilvl w:val="0"/>
          <w:numId w:val="1"/>
        </w:numPr>
        <w:kinsoku/>
        <w:autoSpaceDE/>
        <w:autoSpaceDN/>
        <w:adjustRightInd/>
        <w:snapToGrid/>
        <w:spacing w:line="360" w:lineRule="auto"/>
        <w:ind w:firstLine="480" w:firstLineChars="200"/>
        <w:jc w:val="both"/>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企业划分指标以现行统计制度为准。</w:t>
      </w:r>
    </w:p>
    <w:p w14:paraId="6573B097">
      <w:pPr>
        <w:widowControl w:val="0"/>
        <w:kinsoku/>
        <w:autoSpaceDE/>
        <w:autoSpaceDN/>
        <w:adjustRightInd/>
        <w:snapToGrid/>
        <w:spacing w:line="360" w:lineRule="auto"/>
        <w:ind w:firstLine="480" w:firstLineChars="200"/>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（1）从业人员，是指期末从业人员数，没有期末从业人员数的，采用全年平均人员数代替。</w:t>
      </w:r>
    </w:p>
    <w:p w14:paraId="262689ED">
      <w:pPr>
        <w:widowControl w:val="0"/>
        <w:kinsoku/>
        <w:autoSpaceDE/>
        <w:autoSpaceDN/>
        <w:adjustRightInd/>
        <w:snapToGrid/>
        <w:spacing w:line="360" w:lineRule="auto"/>
        <w:ind w:firstLine="480" w:firstLineChars="200"/>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3C4A3B2">
      <w:pPr>
        <w:spacing w:line="360" w:lineRule="auto"/>
        <w:ind w:firstLine="480" w:firstLineChars="200"/>
        <w:rPr>
          <w:rFonts w:asciiTheme="minorEastAsia" w:hAnsiTheme="minorEastAsia"/>
          <w:color w:val="auto"/>
          <w:spacing w:val="7"/>
          <w:sz w:val="24"/>
          <w:szCs w:val="24"/>
          <w:lang w:eastAsia="zh-CN"/>
        </w:rPr>
      </w:pPr>
      <w:r>
        <w:rPr>
          <w:rFonts w:hint="eastAsia" w:ascii="宋体" w:hAnsi="宋体" w:eastAsia="宋体" w:cs="宋体"/>
          <w:snapToGrid/>
          <w:color w:val="auto"/>
          <w:kern w:val="2"/>
          <w:sz w:val="24"/>
          <w:szCs w:val="24"/>
          <w:lang w:eastAsia="zh-CN"/>
        </w:rPr>
        <w:t>（3）资产总额，采用资产总计代替。</w:t>
      </w:r>
    </w:p>
    <w:p w14:paraId="75A23439">
      <w:pPr>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br w:type="page"/>
      </w:r>
    </w:p>
    <w:p w14:paraId="62FCA927">
      <w:pPr>
        <w:kinsoku/>
        <w:autoSpaceDE/>
        <w:autoSpaceDN/>
        <w:adjustRightInd/>
        <w:snapToGrid/>
        <w:textAlignment w:val="auto"/>
        <w:rPr>
          <w:rFonts w:asciiTheme="minorEastAsia" w:hAnsiTheme="minorEastAsia"/>
          <w:color w:val="auto"/>
          <w:sz w:val="24"/>
          <w:szCs w:val="24"/>
          <w:lang w:eastAsia="zh-CN"/>
        </w:rPr>
      </w:pPr>
    </w:p>
    <w:p w14:paraId="7B82520F">
      <w:pPr>
        <w:pStyle w:val="5"/>
        <w:spacing w:line="300" w:lineRule="auto"/>
        <w:jc w:val="center"/>
        <w:rPr>
          <w:color w:val="FF0000"/>
          <w:sz w:val="28"/>
          <w:szCs w:val="28"/>
          <w:lang w:eastAsia="zh-CN"/>
        </w:rPr>
      </w:pPr>
      <w:bookmarkStart w:id="4" w:name="_Toc30378"/>
      <w:r>
        <w:rPr>
          <w:color w:val="FF0000"/>
          <w:sz w:val="28"/>
          <w:szCs w:val="28"/>
          <w:lang w:eastAsia="zh-CN"/>
        </w:rPr>
        <w:t>第三章</w:t>
      </w:r>
      <w:r>
        <w:rPr>
          <w:rFonts w:hint="eastAsia"/>
          <w:color w:val="FF0000"/>
          <w:sz w:val="28"/>
          <w:szCs w:val="28"/>
          <w:lang w:eastAsia="zh-CN"/>
        </w:rPr>
        <w:t xml:space="preserve"> </w:t>
      </w:r>
      <w:r>
        <w:rPr>
          <w:color w:val="FF0000"/>
          <w:sz w:val="28"/>
          <w:szCs w:val="28"/>
          <w:lang w:eastAsia="zh-CN"/>
        </w:rPr>
        <w:t>评审办法</w:t>
      </w:r>
      <w:bookmarkEnd w:id="4"/>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936"/>
        <w:gridCol w:w="1923"/>
        <w:gridCol w:w="5031"/>
      </w:tblGrid>
      <w:tr w14:paraId="3E67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dxa"/>
            <w:gridSpan w:val="2"/>
            <w:vAlign w:val="center"/>
          </w:tcPr>
          <w:p w14:paraId="23014BCE">
            <w:pPr>
              <w:spacing w:line="300" w:lineRule="auto"/>
              <w:jc w:val="center"/>
              <w:rPr>
                <w:rFonts w:asciiTheme="minorEastAsia" w:hAnsiTheme="minorEastAsia"/>
                <w:color w:val="FF0000"/>
                <w:sz w:val="24"/>
                <w:szCs w:val="24"/>
                <w:lang w:eastAsia="zh-CN"/>
              </w:rPr>
            </w:pPr>
            <w:r>
              <w:rPr>
                <w:rFonts w:ascii="宋体" w:hAnsi="宋体" w:eastAsia="宋体" w:cs="宋体"/>
                <w:color w:val="FF0000"/>
                <w:spacing w:val="-2"/>
                <w:sz w:val="24"/>
                <w:szCs w:val="24"/>
              </w:rPr>
              <w:t>条款</w:t>
            </w:r>
          </w:p>
        </w:tc>
        <w:tc>
          <w:tcPr>
            <w:tcW w:w="1923" w:type="dxa"/>
            <w:vAlign w:val="center"/>
          </w:tcPr>
          <w:p w14:paraId="601988EB">
            <w:pPr>
              <w:spacing w:line="300" w:lineRule="auto"/>
              <w:jc w:val="center"/>
              <w:rPr>
                <w:rFonts w:asciiTheme="minorEastAsia" w:hAnsiTheme="minorEastAsia"/>
                <w:color w:val="FF0000"/>
                <w:sz w:val="24"/>
                <w:szCs w:val="24"/>
                <w:lang w:eastAsia="zh-CN"/>
              </w:rPr>
            </w:pPr>
            <w:r>
              <w:rPr>
                <w:rFonts w:ascii="宋体" w:hAnsi="宋体" w:eastAsia="宋体" w:cs="宋体"/>
                <w:color w:val="FF0000"/>
                <w:spacing w:val="-1"/>
                <w:sz w:val="24"/>
                <w:szCs w:val="24"/>
              </w:rPr>
              <w:t>评审因素</w:t>
            </w:r>
          </w:p>
        </w:tc>
        <w:tc>
          <w:tcPr>
            <w:tcW w:w="5031" w:type="dxa"/>
            <w:vAlign w:val="center"/>
          </w:tcPr>
          <w:p w14:paraId="2EA8BD05">
            <w:pPr>
              <w:spacing w:line="300" w:lineRule="auto"/>
              <w:jc w:val="center"/>
              <w:rPr>
                <w:rFonts w:asciiTheme="minorEastAsia" w:hAnsiTheme="minorEastAsia"/>
                <w:color w:val="FF0000"/>
                <w:sz w:val="24"/>
                <w:szCs w:val="24"/>
                <w:lang w:eastAsia="zh-CN"/>
              </w:rPr>
            </w:pPr>
            <w:r>
              <w:rPr>
                <w:rFonts w:ascii="宋体" w:hAnsi="宋体" w:eastAsia="宋体" w:cs="宋体"/>
                <w:color w:val="FF0000"/>
                <w:spacing w:val="-1"/>
                <w:sz w:val="24"/>
                <w:szCs w:val="24"/>
              </w:rPr>
              <w:t>评审标准</w:t>
            </w:r>
          </w:p>
        </w:tc>
      </w:tr>
      <w:tr w14:paraId="5A14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C7AD680">
            <w:pPr>
              <w:spacing w:line="300" w:lineRule="auto"/>
              <w:jc w:val="center"/>
              <w:rPr>
                <w:rFonts w:asciiTheme="minorEastAsia" w:hAnsiTheme="minorEastAsia"/>
                <w:color w:val="FF0000"/>
                <w:sz w:val="24"/>
                <w:szCs w:val="24"/>
                <w:lang w:eastAsia="zh-CN"/>
              </w:rPr>
            </w:pPr>
            <w:r>
              <w:rPr>
                <w:rFonts w:ascii="宋体" w:hAnsi="宋体" w:eastAsia="宋体" w:cs="宋体"/>
                <w:color w:val="FF0000"/>
                <w:spacing w:val="-2"/>
                <w:sz w:val="24"/>
                <w:szCs w:val="24"/>
              </w:rPr>
              <w:t>2.1.1</w:t>
            </w:r>
          </w:p>
        </w:tc>
        <w:tc>
          <w:tcPr>
            <w:tcW w:w="936" w:type="dxa"/>
            <w:vMerge w:val="restart"/>
            <w:vAlign w:val="center"/>
          </w:tcPr>
          <w:p w14:paraId="1043FA7C">
            <w:pPr>
              <w:spacing w:line="300" w:lineRule="auto"/>
              <w:jc w:val="center"/>
              <w:rPr>
                <w:rFonts w:asciiTheme="minorEastAsia" w:hAnsiTheme="minorEastAsia"/>
                <w:color w:val="FF0000"/>
                <w:sz w:val="24"/>
                <w:szCs w:val="24"/>
                <w:lang w:eastAsia="zh-CN"/>
              </w:rPr>
            </w:pPr>
            <w:r>
              <w:rPr>
                <w:rFonts w:ascii="宋体" w:hAnsi="宋体" w:eastAsia="宋体" w:cs="宋体"/>
                <w:color w:val="FF0000"/>
                <w:spacing w:val="-3"/>
                <w:sz w:val="24"/>
                <w:szCs w:val="24"/>
              </w:rPr>
              <w:t>形式性</w:t>
            </w:r>
            <w:r>
              <w:rPr>
                <w:rFonts w:ascii="宋体" w:hAnsi="宋体" w:eastAsia="宋体" w:cs="宋体"/>
                <w:color w:val="FF0000"/>
                <w:spacing w:val="-2"/>
                <w:sz w:val="24"/>
                <w:szCs w:val="24"/>
              </w:rPr>
              <w:t>评审</w:t>
            </w:r>
          </w:p>
        </w:tc>
        <w:tc>
          <w:tcPr>
            <w:tcW w:w="1923" w:type="dxa"/>
            <w:vAlign w:val="center"/>
          </w:tcPr>
          <w:p w14:paraId="549C982C">
            <w:pPr>
              <w:spacing w:line="300" w:lineRule="auto"/>
              <w:jc w:val="center"/>
              <w:rPr>
                <w:rFonts w:asciiTheme="minorEastAsia" w:hAnsiTheme="minorEastAsia"/>
                <w:color w:val="FF0000"/>
                <w:sz w:val="24"/>
                <w:szCs w:val="24"/>
                <w:lang w:eastAsia="zh-CN"/>
              </w:rPr>
            </w:pPr>
            <w:r>
              <w:rPr>
                <w:rFonts w:ascii="宋体" w:hAnsi="宋体" w:eastAsia="宋体" w:cs="宋体"/>
                <w:color w:val="FF0000"/>
                <w:spacing w:val="-5"/>
                <w:sz w:val="24"/>
                <w:szCs w:val="24"/>
              </w:rPr>
              <w:t>响应文件签署、盖章</w:t>
            </w:r>
          </w:p>
        </w:tc>
        <w:tc>
          <w:tcPr>
            <w:tcW w:w="5031" w:type="dxa"/>
            <w:vAlign w:val="center"/>
          </w:tcPr>
          <w:p w14:paraId="643D8206">
            <w:pPr>
              <w:spacing w:line="300" w:lineRule="auto"/>
              <w:rPr>
                <w:rFonts w:asciiTheme="minorEastAsia" w:hAnsiTheme="minorEastAsia"/>
                <w:color w:val="FF0000"/>
                <w:sz w:val="24"/>
                <w:szCs w:val="24"/>
                <w:lang w:eastAsia="zh-CN"/>
              </w:rPr>
            </w:pPr>
            <w:r>
              <w:rPr>
                <w:rFonts w:asciiTheme="minorEastAsia" w:hAnsiTheme="minorEastAsia"/>
                <w:color w:val="FF0000"/>
                <w:sz w:val="24"/>
                <w:szCs w:val="24"/>
                <w:lang w:eastAsia="zh-CN"/>
              </w:rPr>
              <w:t>响应文件按</w:t>
            </w:r>
            <w:r>
              <w:rPr>
                <w:rFonts w:hint="eastAsia" w:asciiTheme="minorEastAsia" w:hAnsiTheme="minorEastAsia"/>
                <w:color w:val="FF0000"/>
                <w:sz w:val="24"/>
                <w:szCs w:val="24"/>
                <w:lang w:eastAsia="zh-CN"/>
              </w:rPr>
              <w:t>自主磋商</w:t>
            </w:r>
            <w:r>
              <w:rPr>
                <w:rFonts w:asciiTheme="minorEastAsia" w:hAnsiTheme="minorEastAsia"/>
                <w:color w:val="FF0000"/>
                <w:sz w:val="24"/>
                <w:szCs w:val="24"/>
                <w:lang w:eastAsia="zh-CN"/>
              </w:rPr>
              <w:t>文件要求签署、盖章</w:t>
            </w:r>
          </w:p>
        </w:tc>
      </w:tr>
      <w:tr w14:paraId="385E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17" w:type="dxa"/>
            <w:vMerge w:val="continue"/>
            <w:vAlign w:val="center"/>
          </w:tcPr>
          <w:p w14:paraId="3ED824A1">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7F756375">
            <w:pPr>
              <w:spacing w:line="300" w:lineRule="auto"/>
              <w:jc w:val="center"/>
              <w:rPr>
                <w:rFonts w:asciiTheme="minorEastAsia" w:hAnsiTheme="minorEastAsia"/>
                <w:color w:val="FF0000"/>
                <w:sz w:val="24"/>
                <w:szCs w:val="24"/>
                <w:lang w:eastAsia="zh-CN"/>
              </w:rPr>
            </w:pPr>
          </w:p>
        </w:tc>
        <w:tc>
          <w:tcPr>
            <w:tcW w:w="1923" w:type="dxa"/>
            <w:vAlign w:val="center"/>
          </w:tcPr>
          <w:p w14:paraId="317410B5">
            <w:pPr>
              <w:spacing w:line="300" w:lineRule="auto"/>
              <w:jc w:val="center"/>
              <w:rPr>
                <w:rFonts w:ascii="宋体" w:hAnsi="宋体" w:eastAsia="宋体" w:cs="宋体"/>
                <w:color w:val="FF0000"/>
                <w:spacing w:val="-5"/>
                <w:sz w:val="24"/>
                <w:szCs w:val="24"/>
              </w:rPr>
            </w:pPr>
            <w:r>
              <w:rPr>
                <w:rFonts w:ascii="宋体" w:hAnsi="宋体" w:eastAsia="宋体" w:cs="宋体"/>
                <w:color w:val="FF0000"/>
                <w:spacing w:val="-5"/>
                <w:sz w:val="24"/>
                <w:szCs w:val="24"/>
              </w:rPr>
              <w:t>供应商名称</w:t>
            </w:r>
          </w:p>
        </w:tc>
        <w:tc>
          <w:tcPr>
            <w:tcW w:w="5031" w:type="dxa"/>
            <w:vAlign w:val="center"/>
          </w:tcPr>
          <w:p w14:paraId="6845F293">
            <w:pPr>
              <w:spacing w:line="300" w:lineRule="auto"/>
              <w:rPr>
                <w:rFonts w:asciiTheme="minorEastAsia" w:hAnsiTheme="minorEastAsia"/>
                <w:color w:val="FF0000"/>
                <w:sz w:val="24"/>
                <w:szCs w:val="24"/>
                <w:lang w:eastAsia="zh-CN"/>
              </w:rPr>
            </w:pPr>
            <w:r>
              <w:rPr>
                <w:rFonts w:asciiTheme="minorEastAsia" w:hAnsiTheme="minorEastAsia"/>
                <w:color w:val="FF0000"/>
                <w:sz w:val="24"/>
                <w:szCs w:val="24"/>
                <w:lang w:eastAsia="zh-CN"/>
              </w:rPr>
              <w:t>与营业执照（如有）一致</w:t>
            </w:r>
          </w:p>
        </w:tc>
      </w:tr>
      <w:tr w14:paraId="715B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17" w:type="dxa"/>
            <w:vMerge w:val="continue"/>
            <w:vAlign w:val="center"/>
          </w:tcPr>
          <w:p w14:paraId="5E84DEE3">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06B54601">
            <w:pPr>
              <w:spacing w:line="300" w:lineRule="auto"/>
              <w:jc w:val="center"/>
              <w:rPr>
                <w:rFonts w:asciiTheme="minorEastAsia" w:hAnsiTheme="minorEastAsia"/>
                <w:color w:val="FF0000"/>
                <w:sz w:val="24"/>
                <w:szCs w:val="24"/>
                <w:lang w:eastAsia="zh-CN"/>
              </w:rPr>
            </w:pPr>
          </w:p>
        </w:tc>
        <w:tc>
          <w:tcPr>
            <w:tcW w:w="1923" w:type="dxa"/>
            <w:vAlign w:val="center"/>
          </w:tcPr>
          <w:p w14:paraId="15963B06">
            <w:pPr>
              <w:spacing w:line="300" w:lineRule="auto"/>
              <w:jc w:val="center"/>
              <w:rPr>
                <w:rFonts w:ascii="宋体" w:hAnsi="宋体" w:eastAsia="宋体" w:cs="宋体"/>
                <w:color w:val="FF0000"/>
                <w:spacing w:val="-5"/>
                <w:sz w:val="24"/>
                <w:szCs w:val="24"/>
              </w:rPr>
            </w:pPr>
            <w:r>
              <w:rPr>
                <w:rFonts w:ascii="宋体" w:hAnsi="宋体" w:eastAsia="宋体" w:cs="宋体"/>
                <w:color w:val="FF0000"/>
                <w:spacing w:val="-5"/>
                <w:sz w:val="24"/>
                <w:szCs w:val="24"/>
              </w:rPr>
              <w:t>报价唯一</w:t>
            </w:r>
          </w:p>
        </w:tc>
        <w:tc>
          <w:tcPr>
            <w:tcW w:w="5031" w:type="dxa"/>
            <w:vAlign w:val="center"/>
          </w:tcPr>
          <w:p w14:paraId="3E1A2E9E">
            <w:pPr>
              <w:spacing w:line="300" w:lineRule="auto"/>
              <w:rPr>
                <w:rFonts w:asciiTheme="minorEastAsia" w:hAnsiTheme="minorEastAsia"/>
                <w:color w:val="FF0000"/>
                <w:sz w:val="24"/>
                <w:szCs w:val="24"/>
                <w:lang w:eastAsia="zh-CN"/>
              </w:rPr>
            </w:pPr>
            <w:r>
              <w:rPr>
                <w:rFonts w:asciiTheme="minorEastAsia" w:hAnsiTheme="minorEastAsia"/>
                <w:color w:val="FF0000"/>
                <w:sz w:val="24"/>
                <w:szCs w:val="24"/>
                <w:lang w:eastAsia="zh-CN"/>
              </w:rPr>
              <w:t>只能有一个有效报价</w:t>
            </w:r>
          </w:p>
        </w:tc>
      </w:tr>
      <w:tr w14:paraId="45D4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1EE1FA66">
            <w:pPr>
              <w:spacing w:line="300" w:lineRule="auto"/>
              <w:jc w:val="center"/>
              <w:rPr>
                <w:rFonts w:asciiTheme="minorEastAsia" w:hAnsiTheme="minorEastAsia"/>
                <w:color w:val="FF0000"/>
                <w:sz w:val="24"/>
                <w:szCs w:val="24"/>
                <w:lang w:eastAsia="zh-CN"/>
              </w:rPr>
            </w:pPr>
            <w:r>
              <w:rPr>
                <w:rFonts w:ascii="宋体" w:hAnsi="宋体" w:eastAsia="宋体" w:cs="宋体"/>
                <w:color w:val="FF0000"/>
                <w:spacing w:val="-2"/>
                <w:sz w:val="24"/>
                <w:szCs w:val="24"/>
              </w:rPr>
              <w:t>2.1.2</w:t>
            </w:r>
          </w:p>
        </w:tc>
        <w:tc>
          <w:tcPr>
            <w:tcW w:w="936" w:type="dxa"/>
            <w:vMerge w:val="restart"/>
            <w:vAlign w:val="center"/>
          </w:tcPr>
          <w:p w14:paraId="1A722CFE">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资格评审标准</w:t>
            </w:r>
          </w:p>
        </w:tc>
        <w:tc>
          <w:tcPr>
            <w:tcW w:w="1923" w:type="dxa"/>
            <w:vAlign w:val="center"/>
          </w:tcPr>
          <w:p w14:paraId="4F66613D">
            <w:pPr>
              <w:spacing w:line="300" w:lineRule="auto"/>
              <w:jc w:val="center"/>
              <w:rPr>
                <w:rFonts w:ascii="宋体" w:hAnsi="宋体" w:eastAsia="宋体" w:cs="宋体"/>
                <w:color w:val="FF0000"/>
                <w:spacing w:val="-5"/>
                <w:sz w:val="24"/>
                <w:szCs w:val="24"/>
                <w:lang w:eastAsia="zh-CN"/>
              </w:rPr>
            </w:pPr>
            <w:r>
              <w:rPr>
                <w:rFonts w:hint="eastAsia" w:ascii="宋体" w:hAnsi="宋体" w:eastAsia="宋体" w:cs="宋体"/>
                <w:snapToGrid/>
                <w:color w:val="FF0000"/>
                <w:sz w:val="24"/>
                <w:szCs w:val="22"/>
                <w:lang w:val="zh-CN" w:eastAsia="zh-CN" w:bidi="zh-CN"/>
              </w:rPr>
              <w:t>具有独立承担民事责任的能力</w:t>
            </w:r>
          </w:p>
        </w:tc>
        <w:tc>
          <w:tcPr>
            <w:tcW w:w="5031" w:type="dxa"/>
            <w:vAlign w:val="center"/>
          </w:tcPr>
          <w:p w14:paraId="4BBFB4A3">
            <w:pPr>
              <w:widowControl w:val="0"/>
              <w:kinsoku/>
              <w:adjustRightInd/>
              <w:snapToGrid/>
              <w:spacing w:line="300" w:lineRule="auto"/>
              <w:textAlignment w:val="auto"/>
              <w:rPr>
                <w:rFonts w:ascii="宋体" w:hAnsi="宋体" w:eastAsia="宋体" w:cs="宋体"/>
                <w:snapToGrid/>
                <w:color w:val="FF0000"/>
                <w:sz w:val="24"/>
                <w:lang w:val="zh-CN" w:eastAsia="zh-CN" w:bidi="zh-CN"/>
              </w:rPr>
            </w:pPr>
            <w:r>
              <w:rPr>
                <w:rFonts w:hint="eastAsia" w:ascii="宋体" w:hAnsi="宋体" w:eastAsia="宋体"/>
                <w:color w:val="FF0000"/>
                <w:sz w:val="24"/>
                <w:szCs w:val="24"/>
                <w:lang w:val="zh-CN" w:eastAsia="zh-CN"/>
              </w:rPr>
              <w:t>提供法人或者其他组织的营业执照等证明文件</w:t>
            </w:r>
          </w:p>
        </w:tc>
      </w:tr>
      <w:tr w14:paraId="7C75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9BA0E9F">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699F9019">
            <w:pPr>
              <w:spacing w:line="300" w:lineRule="auto"/>
              <w:jc w:val="center"/>
              <w:rPr>
                <w:rFonts w:asciiTheme="minorEastAsia" w:hAnsiTheme="minorEastAsia"/>
                <w:color w:val="FF0000"/>
                <w:sz w:val="24"/>
                <w:szCs w:val="24"/>
                <w:lang w:eastAsia="zh-CN"/>
              </w:rPr>
            </w:pPr>
          </w:p>
        </w:tc>
        <w:tc>
          <w:tcPr>
            <w:tcW w:w="1923" w:type="dxa"/>
            <w:vAlign w:val="center"/>
          </w:tcPr>
          <w:p w14:paraId="29AA8991">
            <w:pPr>
              <w:spacing w:line="300" w:lineRule="auto"/>
              <w:jc w:val="center"/>
              <w:rPr>
                <w:rFonts w:ascii="宋体" w:hAnsi="宋体" w:eastAsia="宋体" w:cs="宋体"/>
                <w:color w:val="FF0000"/>
                <w:spacing w:val="-5"/>
                <w:sz w:val="24"/>
                <w:szCs w:val="24"/>
                <w:lang w:eastAsia="zh-CN"/>
              </w:rPr>
            </w:pPr>
            <w:r>
              <w:rPr>
                <w:rFonts w:hint="eastAsia" w:ascii="宋体" w:hAnsi="宋体" w:eastAsia="宋体" w:cs="宋体"/>
                <w:snapToGrid/>
                <w:color w:val="FF0000"/>
                <w:sz w:val="24"/>
                <w:szCs w:val="22"/>
                <w:lang w:val="zh-CN" w:eastAsia="zh-CN" w:bidi="zh-CN"/>
              </w:rPr>
              <w:t>具有良好的商业信誉和健全的财务会计制度</w:t>
            </w:r>
          </w:p>
        </w:tc>
        <w:tc>
          <w:tcPr>
            <w:tcW w:w="5031" w:type="dxa"/>
            <w:vAlign w:val="center"/>
          </w:tcPr>
          <w:p w14:paraId="57E59517">
            <w:pPr>
              <w:spacing w:line="300" w:lineRule="auto"/>
              <w:rPr>
                <w:rFonts w:asciiTheme="minorEastAsia" w:hAnsiTheme="minorEastAsia"/>
                <w:color w:val="FF0000"/>
                <w:sz w:val="24"/>
                <w:szCs w:val="24"/>
                <w:lang w:eastAsia="zh-CN"/>
              </w:rPr>
            </w:pPr>
            <w:r>
              <w:rPr>
                <w:rFonts w:hint="eastAsia" w:ascii="宋体" w:hAnsi="宋体" w:eastAsia="宋体"/>
                <w:color w:val="FF0000"/>
                <w:sz w:val="24"/>
                <w:szCs w:val="24"/>
                <w:lang w:val="zh-CN" w:eastAsia="zh-CN"/>
              </w:rPr>
              <w:t>提供2023年度经审计的财务审计报告或基本户银行开具的资信证明</w:t>
            </w:r>
          </w:p>
        </w:tc>
      </w:tr>
      <w:tr w14:paraId="1C1F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BB10647">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6432F6DF">
            <w:pPr>
              <w:spacing w:line="300" w:lineRule="auto"/>
              <w:jc w:val="center"/>
              <w:rPr>
                <w:rFonts w:asciiTheme="minorEastAsia" w:hAnsiTheme="minorEastAsia"/>
                <w:color w:val="FF0000"/>
                <w:sz w:val="24"/>
                <w:szCs w:val="24"/>
                <w:lang w:eastAsia="zh-CN"/>
              </w:rPr>
            </w:pPr>
          </w:p>
        </w:tc>
        <w:tc>
          <w:tcPr>
            <w:tcW w:w="1923" w:type="dxa"/>
            <w:vAlign w:val="center"/>
          </w:tcPr>
          <w:p w14:paraId="5FAA7B6E">
            <w:pPr>
              <w:spacing w:line="300" w:lineRule="auto"/>
              <w:jc w:val="center"/>
              <w:rPr>
                <w:rFonts w:ascii="宋体" w:hAnsi="宋体" w:eastAsia="宋体" w:cs="宋体"/>
                <w:color w:val="FF0000"/>
                <w:spacing w:val="-5"/>
                <w:sz w:val="24"/>
                <w:szCs w:val="24"/>
                <w:lang w:eastAsia="zh-CN"/>
              </w:rPr>
            </w:pPr>
            <w:r>
              <w:rPr>
                <w:rFonts w:hint="eastAsia" w:ascii="宋体" w:hAnsi="宋体" w:eastAsia="宋体" w:cs="宋体"/>
                <w:snapToGrid/>
                <w:color w:val="FF0000"/>
                <w:sz w:val="24"/>
                <w:szCs w:val="22"/>
                <w:lang w:val="zh-CN" w:eastAsia="zh-CN" w:bidi="zh-CN"/>
              </w:rPr>
              <w:t>具有履行合同所必需的设备和专业技术能力</w:t>
            </w:r>
          </w:p>
        </w:tc>
        <w:tc>
          <w:tcPr>
            <w:tcW w:w="5031" w:type="dxa"/>
            <w:vAlign w:val="center"/>
          </w:tcPr>
          <w:p w14:paraId="11247BE7">
            <w:pPr>
              <w:spacing w:line="300" w:lineRule="auto"/>
              <w:rPr>
                <w:rFonts w:asciiTheme="minorEastAsia" w:hAnsiTheme="minorEastAsia"/>
                <w:color w:val="FF0000"/>
                <w:sz w:val="24"/>
                <w:szCs w:val="24"/>
                <w:lang w:eastAsia="zh-CN"/>
              </w:rPr>
            </w:pPr>
            <w:r>
              <w:rPr>
                <w:rFonts w:hint="eastAsia" w:ascii="宋体" w:hAnsi="宋体" w:eastAsia="宋体" w:cs="宋体"/>
                <w:snapToGrid/>
                <w:color w:val="FF0000"/>
                <w:sz w:val="24"/>
                <w:szCs w:val="22"/>
                <w:lang w:val="zh-CN" w:eastAsia="zh-CN" w:bidi="zh-CN"/>
              </w:rPr>
              <w:t>具有履行合同所必需的设备和专业技术能力（提供承诺书，格式自拟）</w:t>
            </w:r>
          </w:p>
        </w:tc>
      </w:tr>
      <w:tr w14:paraId="2862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F62DC80">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62B65BA9">
            <w:pPr>
              <w:spacing w:line="300" w:lineRule="auto"/>
              <w:jc w:val="center"/>
              <w:rPr>
                <w:rFonts w:asciiTheme="minorEastAsia" w:hAnsiTheme="minorEastAsia"/>
                <w:color w:val="FF0000"/>
                <w:sz w:val="24"/>
                <w:szCs w:val="24"/>
                <w:lang w:eastAsia="zh-CN"/>
              </w:rPr>
            </w:pPr>
          </w:p>
        </w:tc>
        <w:tc>
          <w:tcPr>
            <w:tcW w:w="1923" w:type="dxa"/>
            <w:vAlign w:val="center"/>
          </w:tcPr>
          <w:p w14:paraId="7DA60CEB">
            <w:pPr>
              <w:spacing w:line="300" w:lineRule="auto"/>
              <w:jc w:val="center"/>
              <w:rPr>
                <w:rFonts w:ascii="宋体" w:hAnsi="宋体" w:eastAsia="宋体" w:cs="宋体"/>
                <w:color w:val="FF0000"/>
                <w:spacing w:val="-5"/>
                <w:sz w:val="24"/>
                <w:szCs w:val="24"/>
                <w:lang w:eastAsia="zh-CN"/>
              </w:rPr>
            </w:pPr>
            <w:r>
              <w:rPr>
                <w:rFonts w:hint="eastAsia" w:ascii="宋体" w:hAnsi="宋体" w:eastAsia="宋体" w:cs="宋体"/>
                <w:snapToGrid/>
                <w:color w:val="FF0000"/>
                <w:sz w:val="24"/>
                <w:szCs w:val="22"/>
                <w:lang w:val="zh-CN" w:eastAsia="zh-CN" w:bidi="zh-CN"/>
              </w:rPr>
              <w:t>有依法缴纳税收和社会保障资金的良好记录</w:t>
            </w:r>
          </w:p>
        </w:tc>
        <w:tc>
          <w:tcPr>
            <w:tcW w:w="5031" w:type="dxa"/>
            <w:vAlign w:val="center"/>
          </w:tcPr>
          <w:p w14:paraId="0946E83F">
            <w:pPr>
              <w:spacing w:line="300" w:lineRule="auto"/>
              <w:rPr>
                <w:rFonts w:asciiTheme="minorEastAsia" w:hAnsiTheme="minorEastAsia"/>
                <w:color w:val="FF0000"/>
                <w:sz w:val="24"/>
                <w:szCs w:val="24"/>
                <w:lang w:eastAsia="zh-CN"/>
              </w:rPr>
            </w:pPr>
            <w:r>
              <w:rPr>
                <w:rFonts w:hint="eastAsia" w:ascii="宋体" w:hAnsi="宋体" w:eastAsia="宋体"/>
                <w:color w:val="FF0000"/>
                <w:sz w:val="24"/>
                <w:szCs w:val="24"/>
                <w:lang w:val="zh-CN" w:eastAsia="zh-CN"/>
              </w:rPr>
              <w:t>提供202</w:t>
            </w:r>
            <w:r>
              <w:rPr>
                <w:rFonts w:hint="eastAsia" w:ascii="宋体" w:hAnsi="宋体" w:eastAsia="宋体"/>
                <w:color w:val="FF0000"/>
                <w:sz w:val="24"/>
                <w:szCs w:val="24"/>
                <w:lang w:val="en-US" w:eastAsia="zh-CN"/>
              </w:rPr>
              <w:t>4</w:t>
            </w:r>
            <w:r>
              <w:rPr>
                <w:rFonts w:hint="eastAsia" w:ascii="宋体" w:hAnsi="宋体" w:eastAsia="宋体"/>
                <w:color w:val="FF0000"/>
                <w:sz w:val="24"/>
                <w:szCs w:val="24"/>
                <w:lang w:val="zh-CN" w:eastAsia="zh-CN"/>
              </w:rPr>
              <w:t>年</w:t>
            </w:r>
            <w:r>
              <w:rPr>
                <w:rFonts w:hint="eastAsia" w:ascii="宋体" w:hAnsi="宋体" w:eastAsia="宋体"/>
                <w:color w:val="FF0000"/>
                <w:sz w:val="24"/>
                <w:szCs w:val="24"/>
                <w:lang w:val="en-US" w:eastAsia="zh-CN"/>
              </w:rPr>
              <w:t>1</w:t>
            </w:r>
            <w:r>
              <w:rPr>
                <w:rFonts w:hint="eastAsia" w:ascii="宋体" w:hAnsi="宋体" w:eastAsia="宋体"/>
                <w:color w:val="FF0000"/>
                <w:sz w:val="24"/>
                <w:szCs w:val="24"/>
                <w:lang w:val="zh-CN" w:eastAsia="zh-CN"/>
              </w:rPr>
              <w:t>月1日以来任意1个月的依法纳税和社会保障资金缴纳证明（银行扣款回单或税局开具的凭据或缴纳清单等，依法免税或不需要缴纳社会保障资金企业，应提供相关证明文件）</w:t>
            </w:r>
          </w:p>
        </w:tc>
      </w:tr>
      <w:tr w14:paraId="28FE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D0D7D44">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76644D21">
            <w:pPr>
              <w:spacing w:line="300" w:lineRule="auto"/>
              <w:jc w:val="center"/>
              <w:rPr>
                <w:rFonts w:asciiTheme="minorEastAsia" w:hAnsiTheme="minorEastAsia"/>
                <w:color w:val="FF0000"/>
                <w:sz w:val="24"/>
                <w:szCs w:val="24"/>
                <w:lang w:eastAsia="zh-CN"/>
              </w:rPr>
            </w:pPr>
          </w:p>
        </w:tc>
        <w:tc>
          <w:tcPr>
            <w:tcW w:w="1923" w:type="dxa"/>
            <w:vAlign w:val="center"/>
          </w:tcPr>
          <w:p w14:paraId="52F30F25">
            <w:pPr>
              <w:spacing w:line="300" w:lineRule="auto"/>
              <w:jc w:val="center"/>
              <w:rPr>
                <w:rFonts w:ascii="宋体" w:hAnsi="宋体" w:eastAsia="宋体" w:cs="宋体"/>
                <w:color w:val="FF0000"/>
                <w:spacing w:val="-5"/>
                <w:sz w:val="24"/>
                <w:szCs w:val="24"/>
                <w:lang w:eastAsia="zh-CN"/>
              </w:rPr>
            </w:pPr>
            <w:r>
              <w:rPr>
                <w:rFonts w:hint="eastAsia" w:ascii="宋体" w:hAnsi="宋体" w:eastAsia="宋体" w:cs="宋体"/>
                <w:snapToGrid/>
                <w:color w:val="FF0000"/>
                <w:sz w:val="24"/>
                <w:szCs w:val="22"/>
                <w:lang w:val="zh-CN" w:eastAsia="zh-CN" w:bidi="zh-CN"/>
              </w:rPr>
              <w:t>参加政府采购活动前三年内，在经营活动中没有重大违法记录</w:t>
            </w:r>
          </w:p>
        </w:tc>
        <w:tc>
          <w:tcPr>
            <w:tcW w:w="5031" w:type="dxa"/>
            <w:vAlign w:val="center"/>
          </w:tcPr>
          <w:p w14:paraId="72EDB616">
            <w:pPr>
              <w:widowControl w:val="0"/>
              <w:kinsoku/>
              <w:snapToGrid/>
              <w:spacing w:line="300" w:lineRule="auto"/>
              <w:textAlignment w:val="auto"/>
              <w:rPr>
                <w:rFonts w:ascii="Times New Roman" w:hAnsi="Times New Roman" w:eastAsia="宋体" w:cs="Times New Roman"/>
                <w:snapToGrid/>
                <w:color w:val="FF0000"/>
                <w:kern w:val="2"/>
                <w:szCs w:val="24"/>
                <w:lang w:eastAsia="zh-CN"/>
              </w:rPr>
            </w:pPr>
            <w:r>
              <w:rPr>
                <w:rFonts w:hint="eastAsia" w:ascii="宋体" w:hAnsi="宋体" w:eastAsia="宋体" w:cs="宋体"/>
                <w:snapToGrid/>
                <w:color w:val="FF0000"/>
                <w:sz w:val="24"/>
                <w:szCs w:val="22"/>
                <w:lang w:val="zh-CN" w:eastAsia="zh-CN" w:bidi="zh-CN"/>
              </w:rPr>
              <w:t>参加政府采购活动前三年内，在经营活动中没有重大违法记录（提供承诺书，格式自拟）。</w:t>
            </w:r>
          </w:p>
        </w:tc>
      </w:tr>
      <w:tr w14:paraId="54E7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487805E">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4F70ED7F">
            <w:pPr>
              <w:spacing w:line="300" w:lineRule="auto"/>
              <w:jc w:val="center"/>
              <w:rPr>
                <w:rFonts w:asciiTheme="minorEastAsia" w:hAnsiTheme="minorEastAsia"/>
                <w:color w:val="FF0000"/>
                <w:sz w:val="24"/>
                <w:szCs w:val="24"/>
                <w:lang w:eastAsia="zh-CN"/>
              </w:rPr>
            </w:pPr>
          </w:p>
        </w:tc>
        <w:tc>
          <w:tcPr>
            <w:tcW w:w="1923" w:type="dxa"/>
            <w:vAlign w:val="center"/>
          </w:tcPr>
          <w:p w14:paraId="4A685A64">
            <w:pPr>
              <w:spacing w:line="300" w:lineRule="auto"/>
              <w:jc w:val="center"/>
              <w:rPr>
                <w:rFonts w:ascii="宋体" w:hAnsi="宋体" w:eastAsia="宋体" w:cs="宋体"/>
                <w:color w:val="FF0000"/>
                <w:spacing w:val="-5"/>
                <w:sz w:val="24"/>
                <w:szCs w:val="24"/>
                <w:lang w:eastAsia="zh-CN"/>
              </w:rPr>
            </w:pPr>
            <w:r>
              <w:rPr>
                <w:rFonts w:hint="eastAsia" w:ascii="宋体" w:hAnsi="宋体" w:eastAsia="宋体" w:cs="宋体"/>
                <w:color w:val="FF0000"/>
                <w:spacing w:val="-5"/>
                <w:sz w:val="24"/>
                <w:szCs w:val="24"/>
                <w:lang w:eastAsia="zh-CN"/>
              </w:rPr>
              <w:t>企业资质要求</w:t>
            </w:r>
          </w:p>
        </w:tc>
        <w:tc>
          <w:tcPr>
            <w:tcW w:w="5031" w:type="dxa"/>
            <w:vAlign w:val="center"/>
          </w:tcPr>
          <w:p w14:paraId="574D9C18">
            <w:pPr>
              <w:spacing w:line="300" w:lineRule="auto"/>
              <w:rPr>
                <w:rFonts w:asciiTheme="minorEastAsia" w:hAnsiTheme="minorEastAsia"/>
                <w:color w:val="FF0000"/>
                <w:sz w:val="24"/>
                <w:szCs w:val="24"/>
                <w:lang w:eastAsia="zh-CN"/>
              </w:rPr>
            </w:pPr>
            <w:r>
              <w:rPr>
                <w:rFonts w:asciiTheme="minorEastAsia" w:hAnsiTheme="minorEastAsia"/>
                <w:color w:val="FF0000"/>
                <w:sz w:val="24"/>
                <w:szCs w:val="24"/>
                <w:lang w:eastAsia="zh-CN"/>
              </w:rPr>
              <w:t>符合第二章“供应商须知前附表”第1.4.1项规定</w:t>
            </w:r>
          </w:p>
        </w:tc>
      </w:tr>
      <w:tr w14:paraId="1741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1049EF3">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01E9AC81">
            <w:pPr>
              <w:spacing w:line="300" w:lineRule="auto"/>
              <w:jc w:val="center"/>
              <w:rPr>
                <w:rFonts w:asciiTheme="minorEastAsia" w:hAnsiTheme="minorEastAsia"/>
                <w:color w:val="FF0000"/>
                <w:sz w:val="24"/>
                <w:szCs w:val="24"/>
                <w:lang w:eastAsia="zh-CN"/>
              </w:rPr>
            </w:pPr>
          </w:p>
        </w:tc>
        <w:tc>
          <w:tcPr>
            <w:tcW w:w="1923" w:type="dxa"/>
            <w:vAlign w:val="center"/>
          </w:tcPr>
          <w:p w14:paraId="5A773C08">
            <w:pPr>
              <w:spacing w:line="300" w:lineRule="auto"/>
              <w:jc w:val="center"/>
              <w:rPr>
                <w:rFonts w:hint="eastAsia" w:ascii="宋体" w:hAnsi="宋体" w:eastAsia="宋体" w:cs="宋体"/>
                <w:color w:val="FF0000"/>
                <w:spacing w:val="-5"/>
                <w:sz w:val="24"/>
                <w:szCs w:val="24"/>
                <w:lang w:eastAsia="zh-CN"/>
              </w:rPr>
            </w:pPr>
            <w:r>
              <w:rPr>
                <w:rFonts w:hint="eastAsia" w:ascii="宋体" w:hAnsi="宋体" w:eastAsia="宋体"/>
                <w:color w:val="FF0000"/>
                <w:sz w:val="24"/>
                <w:szCs w:val="24"/>
                <w:lang w:eastAsia="zh-CN"/>
              </w:rPr>
              <w:t>信誉要求</w:t>
            </w:r>
          </w:p>
        </w:tc>
        <w:tc>
          <w:tcPr>
            <w:tcW w:w="5031" w:type="dxa"/>
            <w:vAlign w:val="center"/>
          </w:tcPr>
          <w:p w14:paraId="59CBF86C">
            <w:pPr>
              <w:spacing w:line="300" w:lineRule="auto"/>
              <w:rPr>
                <w:rFonts w:asciiTheme="minorEastAsia" w:hAnsiTheme="minorEastAsia"/>
                <w:color w:val="FF0000"/>
                <w:sz w:val="24"/>
                <w:szCs w:val="24"/>
                <w:lang w:eastAsia="zh-CN"/>
              </w:rPr>
            </w:pPr>
            <w:r>
              <w:rPr>
                <w:rFonts w:asciiTheme="minorEastAsia" w:hAnsiTheme="minorEastAsia"/>
                <w:color w:val="FF0000"/>
                <w:sz w:val="24"/>
                <w:szCs w:val="24"/>
                <w:lang w:eastAsia="zh-CN"/>
              </w:rPr>
              <w:t>符合第二章“供应商须知前附表”第1.4.1项规定</w:t>
            </w:r>
          </w:p>
        </w:tc>
      </w:tr>
      <w:tr w14:paraId="1316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8B2D1B3">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101E6F5F">
            <w:pPr>
              <w:spacing w:line="300" w:lineRule="auto"/>
              <w:jc w:val="center"/>
              <w:rPr>
                <w:rFonts w:asciiTheme="minorEastAsia" w:hAnsiTheme="minorEastAsia"/>
                <w:color w:val="FF0000"/>
                <w:sz w:val="24"/>
                <w:szCs w:val="24"/>
                <w:lang w:eastAsia="zh-CN"/>
              </w:rPr>
            </w:pPr>
          </w:p>
        </w:tc>
        <w:tc>
          <w:tcPr>
            <w:tcW w:w="1923" w:type="dxa"/>
            <w:vAlign w:val="center"/>
          </w:tcPr>
          <w:p w14:paraId="0FD7231B">
            <w:pPr>
              <w:spacing w:before="68" w:line="300" w:lineRule="auto"/>
              <w:ind w:right="113"/>
              <w:jc w:val="center"/>
              <w:rPr>
                <w:rFonts w:ascii="宋体" w:hAnsi="宋体" w:eastAsia="宋体" w:cs="宋体"/>
                <w:color w:val="FF0000"/>
                <w:spacing w:val="-5"/>
                <w:sz w:val="24"/>
                <w:szCs w:val="24"/>
                <w:lang w:eastAsia="zh-CN"/>
              </w:rPr>
            </w:pPr>
            <w:r>
              <w:rPr>
                <w:rFonts w:hint="eastAsia" w:ascii="宋体" w:hAnsi="宋体" w:eastAsia="宋体" w:cs="宋体"/>
                <w:color w:val="FF0000"/>
                <w:spacing w:val="-5"/>
                <w:sz w:val="24"/>
                <w:szCs w:val="24"/>
                <w:lang w:eastAsia="zh-CN"/>
              </w:rPr>
              <w:t>拟派项目经理要求</w:t>
            </w:r>
          </w:p>
        </w:tc>
        <w:tc>
          <w:tcPr>
            <w:tcW w:w="5031" w:type="dxa"/>
            <w:vAlign w:val="center"/>
          </w:tcPr>
          <w:p w14:paraId="69B56BAB">
            <w:pPr>
              <w:spacing w:line="300" w:lineRule="auto"/>
              <w:rPr>
                <w:rFonts w:asciiTheme="minorEastAsia" w:hAnsiTheme="minorEastAsia"/>
                <w:color w:val="FF0000"/>
                <w:sz w:val="24"/>
                <w:szCs w:val="24"/>
                <w:lang w:eastAsia="zh-CN"/>
              </w:rPr>
            </w:pPr>
            <w:r>
              <w:rPr>
                <w:rFonts w:asciiTheme="minorEastAsia" w:hAnsiTheme="minorEastAsia"/>
                <w:color w:val="FF0000"/>
                <w:sz w:val="24"/>
                <w:szCs w:val="24"/>
                <w:lang w:eastAsia="zh-CN"/>
              </w:rPr>
              <w:t>符合第二章“供应商须知前附表”第1.4.1项规定</w:t>
            </w:r>
          </w:p>
        </w:tc>
      </w:tr>
      <w:tr w14:paraId="66E0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A2598E4">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77998025">
            <w:pPr>
              <w:spacing w:line="300" w:lineRule="auto"/>
              <w:jc w:val="center"/>
              <w:rPr>
                <w:rFonts w:asciiTheme="minorEastAsia" w:hAnsiTheme="minorEastAsia"/>
                <w:color w:val="FF0000"/>
                <w:sz w:val="24"/>
                <w:szCs w:val="24"/>
                <w:lang w:eastAsia="zh-CN"/>
              </w:rPr>
            </w:pPr>
          </w:p>
        </w:tc>
        <w:tc>
          <w:tcPr>
            <w:tcW w:w="1923" w:type="dxa"/>
            <w:vAlign w:val="center"/>
          </w:tcPr>
          <w:p w14:paraId="0EC3AD4A">
            <w:pPr>
              <w:spacing w:line="300" w:lineRule="auto"/>
              <w:jc w:val="center"/>
              <w:rPr>
                <w:rFonts w:ascii="宋体" w:hAnsi="宋体" w:eastAsia="宋体" w:cs="宋体"/>
                <w:color w:val="FF0000"/>
                <w:spacing w:val="-5"/>
                <w:sz w:val="24"/>
                <w:szCs w:val="24"/>
                <w:lang w:eastAsia="zh-CN"/>
              </w:rPr>
            </w:pPr>
            <w:r>
              <w:rPr>
                <w:rFonts w:hint="eastAsia" w:ascii="宋体" w:hAnsi="宋体" w:eastAsia="宋体"/>
                <w:color w:val="FF0000"/>
                <w:sz w:val="24"/>
                <w:szCs w:val="24"/>
                <w:lang w:eastAsia="zh-CN"/>
              </w:rPr>
              <w:t>其他要求</w:t>
            </w:r>
          </w:p>
        </w:tc>
        <w:tc>
          <w:tcPr>
            <w:tcW w:w="5031" w:type="dxa"/>
            <w:vAlign w:val="center"/>
          </w:tcPr>
          <w:p w14:paraId="7106F691">
            <w:pPr>
              <w:spacing w:line="300" w:lineRule="auto"/>
              <w:rPr>
                <w:rFonts w:asciiTheme="minorEastAsia" w:hAnsiTheme="minorEastAsia"/>
                <w:color w:val="FF0000"/>
                <w:sz w:val="24"/>
                <w:szCs w:val="24"/>
                <w:lang w:eastAsia="zh-CN"/>
              </w:rPr>
            </w:pPr>
            <w:r>
              <w:rPr>
                <w:rFonts w:asciiTheme="minorEastAsia" w:hAnsiTheme="minorEastAsia"/>
                <w:color w:val="FF0000"/>
                <w:sz w:val="24"/>
                <w:szCs w:val="24"/>
                <w:lang w:eastAsia="zh-CN"/>
              </w:rPr>
              <w:t>符合第二章“供应商须知前附表”第1.4.1项规定</w:t>
            </w:r>
          </w:p>
        </w:tc>
      </w:tr>
      <w:tr w14:paraId="2681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63F4D1C">
            <w:pPr>
              <w:spacing w:line="300" w:lineRule="auto"/>
              <w:jc w:val="center"/>
              <w:rPr>
                <w:rFonts w:asciiTheme="minorEastAsia" w:hAnsiTheme="minorEastAsia"/>
                <w:color w:val="FF0000"/>
                <w:sz w:val="24"/>
                <w:szCs w:val="24"/>
                <w:lang w:eastAsia="zh-CN"/>
              </w:rPr>
            </w:pPr>
            <w:r>
              <w:rPr>
                <w:rFonts w:cs="宋体" w:asciiTheme="minorEastAsia" w:hAnsiTheme="minorEastAsia"/>
                <w:color w:val="FF0000"/>
                <w:spacing w:val="-2"/>
                <w:sz w:val="24"/>
                <w:szCs w:val="24"/>
              </w:rPr>
              <w:t>2.1.3</w:t>
            </w:r>
          </w:p>
        </w:tc>
        <w:tc>
          <w:tcPr>
            <w:tcW w:w="936" w:type="dxa"/>
            <w:vMerge w:val="restart"/>
            <w:vAlign w:val="center"/>
          </w:tcPr>
          <w:p w14:paraId="5F5E3A86">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响应性评审标准</w:t>
            </w:r>
          </w:p>
        </w:tc>
        <w:tc>
          <w:tcPr>
            <w:tcW w:w="1923" w:type="dxa"/>
            <w:vAlign w:val="center"/>
          </w:tcPr>
          <w:p w14:paraId="0CD685C2">
            <w:pPr>
              <w:spacing w:before="69" w:line="300" w:lineRule="auto"/>
              <w:jc w:val="center"/>
              <w:rPr>
                <w:rFonts w:ascii="宋体" w:hAnsi="宋体" w:eastAsia="宋体" w:cs="宋体"/>
                <w:color w:val="FF0000"/>
                <w:spacing w:val="-5"/>
                <w:sz w:val="24"/>
                <w:szCs w:val="24"/>
              </w:rPr>
            </w:pPr>
            <w:r>
              <w:rPr>
                <w:rFonts w:hint="eastAsia" w:ascii="宋体" w:hAnsi="宋体" w:eastAsia="宋体" w:cs="宋体"/>
                <w:color w:val="FF0000"/>
                <w:spacing w:val="-5"/>
                <w:sz w:val="24"/>
                <w:szCs w:val="24"/>
              </w:rPr>
              <w:t>磋商报价</w:t>
            </w:r>
          </w:p>
        </w:tc>
        <w:tc>
          <w:tcPr>
            <w:tcW w:w="5031" w:type="dxa"/>
            <w:vAlign w:val="center"/>
          </w:tcPr>
          <w:p w14:paraId="35C6805B">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报价未超过自主磋商文件中规定的预算金额或者最高限价的</w:t>
            </w:r>
          </w:p>
        </w:tc>
      </w:tr>
      <w:tr w14:paraId="2D3F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34582E8">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1EB412F2">
            <w:pPr>
              <w:spacing w:line="300" w:lineRule="auto"/>
              <w:jc w:val="center"/>
              <w:rPr>
                <w:rFonts w:asciiTheme="minorEastAsia" w:hAnsiTheme="minorEastAsia"/>
                <w:color w:val="FF0000"/>
                <w:sz w:val="24"/>
                <w:szCs w:val="24"/>
                <w:lang w:eastAsia="zh-CN"/>
              </w:rPr>
            </w:pPr>
          </w:p>
        </w:tc>
        <w:tc>
          <w:tcPr>
            <w:tcW w:w="1923" w:type="dxa"/>
            <w:vAlign w:val="center"/>
          </w:tcPr>
          <w:p w14:paraId="07971650">
            <w:pPr>
              <w:spacing w:line="300" w:lineRule="auto"/>
              <w:jc w:val="center"/>
              <w:rPr>
                <w:rFonts w:ascii="宋体" w:hAnsi="宋体" w:eastAsia="宋体" w:cs="宋体"/>
                <w:color w:val="FF0000"/>
                <w:spacing w:val="-5"/>
                <w:sz w:val="24"/>
                <w:szCs w:val="24"/>
              </w:rPr>
            </w:pPr>
            <w:r>
              <w:rPr>
                <w:rFonts w:hint="eastAsia" w:ascii="宋体" w:hAnsi="宋体" w:eastAsia="宋体" w:cs="宋体"/>
                <w:color w:val="FF0000"/>
                <w:spacing w:val="-5"/>
                <w:sz w:val="24"/>
                <w:szCs w:val="24"/>
              </w:rPr>
              <w:t>响应内容</w:t>
            </w:r>
          </w:p>
        </w:tc>
        <w:tc>
          <w:tcPr>
            <w:tcW w:w="5031" w:type="dxa"/>
            <w:vAlign w:val="center"/>
          </w:tcPr>
          <w:p w14:paraId="4AD3313F">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符合第二章</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供应商须知前附表</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第</w:t>
            </w:r>
            <w:r>
              <w:rPr>
                <w:rFonts w:asciiTheme="minorEastAsia" w:hAnsiTheme="minorEastAsia"/>
                <w:color w:val="FF0000"/>
                <w:sz w:val="24"/>
                <w:szCs w:val="24"/>
                <w:lang w:eastAsia="zh-CN"/>
              </w:rPr>
              <w:t>1.3.1</w:t>
            </w:r>
            <w:r>
              <w:rPr>
                <w:rFonts w:hint="eastAsia" w:asciiTheme="minorEastAsia" w:hAnsiTheme="minorEastAsia"/>
                <w:color w:val="FF0000"/>
                <w:sz w:val="24"/>
                <w:szCs w:val="24"/>
                <w:lang w:eastAsia="zh-CN"/>
              </w:rPr>
              <w:t>项规定</w:t>
            </w:r>
          </w:p>
        </w:tc>
      </w:tr>
      <w:tr w14:paraId="65F1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09F8443">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093D65A2">
            <w:pPr>
              <w:spacing w:line="300" w:lineRule="auto"/>
              <w:jc w:val="center"/>
              <w:rPr>
                <w:rFonts w:asciiTheme="minorEastAsia" w:hAnsiTheme="minorEastAsia"/>
                <w:color w:val="FF0000"/>
                <w:sz w:val="24"/>
                <w:szCs w:val="24"/>
                <w:lang w:eastAsia="zh-CN"/>
              </w:rPr>
            </w:pPr>
          </w:p>
        </w:tc>
        <w:tc>
          <w:tcPr>
            <w:tcW w:w="1923" w:type="dxa"/>
            <w:vAlign w:val="center"/>
          </w:tcPr>
          <w:p w14:paraId="1ACFA7F9">
            <w:pPr>
              <w:spacing w:line="300" w:lineRule="auto"/>
              <w:jc w:val="center"/>
              <w:rPr>
                <w:rFonts w:ascii="宋体" w:hAnsi="宋体" w:eastAsia="宋体" w:cs="宋体"/>
                <w:color w:val="FF0000"/>
                <w:spacing w:val="-5"/>
                <w:sz w:val="24"/>
                <w:szCs w:val="24"/>
              </w:rPr>
            </w:pPr>
            <w:r>
              <w:rPr>
                <w:rFonts w:hint="eastAsia" w:ascii="宋体" w:hAnsi="宋体" w:eastAsia="宋体" w:cs="宋体"/>
                <w:color w:val="FF0000"/>
                <w:spacing w:val="-5"/>
                <w:sz w:val="24"/>
                <w:szCs w:val="24"/>
              </w:rPr>
              <w:t>计划工期</w:t>
            </w:r>
          </w:p>
        </w:tc>
        <w:tc>
          <w:tcPr>
            <w:tcW w:w="5031" w:type="dxa"/>
            <w:vAlign w:val="center"/>
          </w:tcPr>
          <w:p w14:paraId="5ACDB027">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符合第二章</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供应商须知前附表</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第</w:t>
            </w:r>
            <w:r>
              <w:rPr>
                <w:rFonts w:asciiTheme="minorEastAsia" w:hAnsiTheme="minorEastAsia"/>
                <w:color w:val="FF0000"/>
                <w:sz w:val="24"/>
                <w:szCs w:val="24"/>
                <w:lang w:eastAsia="zh-CN"/>
              </w:rPr>
              <w:t>1.3.2</w:t>
            </w:r>
            <w:r>
              <w:rPr>
                <w:rFonts w:hint="eastAsia" w:asciiTheme="minorEastAsia" w:hAnsiTheme="minorEastAsia"/>
                <w:color w:val="FF0000"/>
                <w:sz w:val="24"/>
                <w:szCs w:val="24"/>
                <w:lang w:eastAsia="zh-CN"/>
              </w:rPr>
              <w:t>项规定</w:t>
            </w:r>
          </w:p>
        </w:tc>
      </w:tr>
      <w:tr w14:paraId="6F9F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69C412A">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601CD278">
            <w:pPr>
              <w:spacing w:line="300" w:lineRule="auto"/>
              <w:jc w:val="center"/>
              <w:rPr>
                <w:rFonts w:asciiTheme="minorEastAsia" w:hAnsiTheme="minorEastAsia"/>
                <w:color w:val="FF0000"/>
                <w:sz w:val="24"/>
                <w:szCs w:val="24"/>
                <w:lang w:eastAsia="zh-CN"/>
              </w:rPr>
            </w:pPr>
          </w:p>
        </w:tc>
        <w:tc>
          <w:tcPr>
            <w:tcW w:w="1923" w:type="dxa"/>
            <w:vAlign w:val="center"/>
          </w:tcPr>
          <w:p w14:paraId="284C83B1">
            <w:pPr>
              <w:spacing w:line="300" w:lineRule="auto"/>
              <w:jc w:val="center"/>
              <w:rPr>
                <w:rFonts w:ascii="宋体" w:hAnsi="宋体" w:eastAsia="宋体" w:cs="宋体"/>
                <w:color w:val="FF0000"/>
                <w:spacing w:val="-5"/>
                <w:sz w:val="24"/>
                <w:szCs w:val="24"/>
              </w:rPr>
            </w:pPr>
            <w:r>
              <w:rPr>
                <w:rFonts w:hint="eastAsia" w:ascii="宋体" w:hAnsi="宋体" w:eastAsia="宋体" w:cs="宋体"/>
                <w:color w:val="FF0000"/>
                <w:spacing w:val="-5"/>
                <w:sz w:val="24"/>
                <w:szCs w:val="24"/>
              </w:rPr>
              <w:t>质量标准</w:t>
            </w:r>
          </w:p>
        </w:tc>
        <w:tc>
          <w:tcPr>
            <w:tcW w:w="5031" w:type="dxa"/>
            <w:vAlign w:val="center"/>
          </w:tcPr>
          <w:p w14:paraId="3D6F066A">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符合第二章</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供应商须知前附表</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第</w:t>
            </w:r>
            <w:r>
              <w:rPr>
                <w:rFonts w:asciiTheme="minorEastAsia" w:hAnsiTheme="minorEastAsia"/>
                <w:color w:val="FF0000"/>
                <w:sz w:val="24"/>
                <w:szCs w:val="24"/>
                <w:lang w:eastAsia="zh-CN"/>
              </w:rPr>
              <w:t>1.3.3</w:t>
            </w:r>
            <w:r>
              <w:rPr>
                <w:rFonts w:hint="eastAsia" w:asciiTheme="minorEastAsia" w:hAnsiTheme="minorEastAsia"/>
                <w:color w:val="FF0000"/>
                <w:sz w:val="24"/>
                <w:szCs w:val="24"/>
                <w:lang w:eastAsia="zh-CN"/>
              </w:rPr>
              <w:t>项规定</w:t>
            </w:r>
          </w:p>
        </w:tc>
      </w:tr>
      <w:tr w14:paraId="1AB9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5E4233F">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33BBE3F5">
            <w:pPr>
              <w:spacing w:line="300" w:lineRule="auto"/>
              <w:jc w:val="center"/>
              <w:rPr>
                <w:rFonts w:asciiTheme="minorEastAsia" w:hAnsiTheme="minorEastAsia"/>
                <w:color w:val="FF0000"/>
                <w:sz w:val="24"/>
                <w:szCs w:val="24"/>
                <w:lang w:eastAsia="zh-CN"/>
              </w:rPr>
            </w:pPr>
          </w:p>
        </w:tc>
        <w:tc>
          <w:tcPr>
            <w:tcW w:w="1923" w:type="dxa"/>
            <w:vAlign w:val="center"/>
          </w:tcPr>
          <w:p w14:paraId="4085A961">
            <w:pPr>
              <w:spacing w:line="300" w:lineRule="auto"/>
              <w:jc w:val="center"/>
              <w:rPr>
                <w:rFonts w:hint="eastAsia" w:ascii="宋体" w:hAnsi="宋体" w:eastAsia="宋体" w:cs="宋体"/>
                <w:color w:val="FF0000"/>
                <w:spacing w:val="-5"/>
                <w:sz w:val="24"/>
                <w:szCs w:val="24"/>
              </w:rPr>
            </w:pPr>
            <w:r>
              <w:rPr>
                <w:rFonts w:hint="eastAsia" w:asciiTheme="minorEastAsia" w:hAnsiTheme="minorEastAsia"/>
                <w:color w:val="FF0000"/>
                <w:kern w:val="2"/>
                <w:sz w:val="24"/>
                <w:szCs w:val="24"/>
                <w:lang w:eastAsia="zh-CN"/>
              </w:rPr>
              <w:t>保修期</w:t>
            </w:r>
          </w:p>
        </w:tc>
        <w:tc>
          <w:tcPr>
            <w:tcW w:w="5031" w:type="dxa"/>
            <w:vAlign w:val="center"/>
          </w:tcPr>
          <w:p w14:paraId="30D7152E">
            <w:pPr>
              <w:spacing w:line="300" w:lineRule="auto"/>
              <w:rPr>
                <w:rFonts w:hint="eastAsia" w:asciiTheme="minorEastAsia" w:hAnsiTheme="minorEastAsia"/>
                <w:color w:val="FF0000"/>
                <w:sz w:val="24"/>
                <w:szCs w:val="24"/>
                <w:lang w:eastAsia="zh-CN"/>
              </w:rPr>
            </w:pPr>
            <w:r>
              <w:rPr>
                <w:rFonts w:hint="eastAsia" w:asciiTheme="minorEastAsia" w:hAnsiTheme="minorEastAsia"/>
                <w:color w:val="FF0000"/>
                <w:sz w:val="24"/>
                <w:szCs w:val="24"/>
                <w:lang w:eastAsia="zh-CN"/>
              </w:rPr>
              <w:t>符合第二章</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供应商须知前附表</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第</w:t>
            </w:r>
            <w:r>
              <w:rPr>
                <w:rFonts w:asciiTheme="minorEastAsia" w:hAnsiTheme="minorEastAsia"/>
                <w:color w:val="FF0000"/>
                <w:sz w:val="24"/>
                <w:szCs w:val="24"/>
                <w:lang w:eastAsia="zh-CN"/>
              </w:rPr>
              <w:t>1.3.</w:t>
            </w:r>
            <w:r>
              <w:rPr>
                <w:rFonts w:hint="eastAsia" w:asciiTheme="minorEastAsia" w:hAnsiTheme="minorEastAsia"/>
                <w:color w:val="FF0000"/>
                <w:sz w:val="24"/>
                <w:szCs w:val="24"/>
                <w:lang w:eastAsia="zh-CN"/>
              </w:rPr>
              <w:t>4项规定</w:t>
            </w:r>
          </w:p>
        </w:tc>
      </w:tr>
      <w:tr w14:paraId="0908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5704788">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282C63CC">
            <w:pPr>
              <w:spacing w:line="300" w:lineRule="auto"/>
              <w:jc w:val="center"/>
              <w:rPr>
                <w:rFonts w:asciiTheme="minorEastAsia" w:hAnsiTheme="minorEastAsia"/>
                <w:color w:val="FF0000"/>
                <w:sz w:val="24"/>
                <w:szCs w:val="24"/>
                <w:lang w:eastAsia="zh-CN"/>
              </w:rPr>
            </w:pPr>
          </w:p>
        </w:tc>
        <w:tc>
          <w:tcPr>
            <w:tcW w:w="1923" w:type="dxa"/>
            <w:vAlign w:val="center"/>
          </w:tcPr>
          <w:p w14:paraId="723987B5">
            <w:pPr>
              <w:spacing w:line="300" w:lineRule="auto"/>
              <w:jc w:val="center"/>
              <w:rPr>
                <w:rFonts w:hint="eastAsia" w:ascii="宋体" w:hAnsi="宋体" w:eastAsia="宋体" w:cs="宋体"/>
                <w:color w:val="FF0000"/>
                <w:spacing w:val="-5"/>
                <w:sz w:val="24"/>
                <w:szCs w:val="24"/>
              </w:rPr>
            </w:pPr>
            <w:r>
              <w:rPr>
                <w:rFonts w:hint="eastAsia" w:ascii="宋体" w:hAnsi="宋体" w:cs="黑体"/>
                <w:color w:val="FF0000"/>
                <w:sz w:val="24"/>
              </w:rPr>
              <w:t>工程施工要求</w:t>
            </w:r>
          </w:p>
        </w:tc>
        <w:tc>
          <w:tcPr>
            <w:tcW w:w="5031" w:type="dxa"/>
            <w:vAlign w:val="center"/>
          </w:tcPr>
          <w:p w14:paraId="5440A577">
            <w:pPr>
              <w:spacing w:line="300" w:lineRule="auto"/>
              <w:rPr>
                <w:rFonts w:hint="eastAsia" w:asciiTheme="minorEastAsia" w:hAnsiTheme="minorEastAsia"/>
                <w:color w:val="FF0000"/>
                <w:sz w:val="24"/>
                <w:szCs w:val="24"/>
                <w:lang w:eastAsia="zh-CN"/>
              </w:rPr>
            </w:pPr>
            <w:r>
              <w:rPr>
                <w:rFonts w:hint="eastAsia" w:asciiTheme="minorEastAsia" w:hAnsiTheme="minorEastAsia"/>
                <w:color w:val="FF0000"/>
                <w:sz w:val="24"/>
                <w:szCs w:val="24"/>
                <w:lang w:eastAsia="zh-CN"/>
              </w:rPr>
              <w:t>符合第二章</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供应商须知前附表</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第</w:t>
            </w:r>
            <w:r>
              <w:rPr>
                <w:rFonts w:asciiTheme="minorEastAsia" w:hAnsiTheme="minorEastAsia"/>
                <w:color w:val="FF0000"/>
                <w:sz w:val="24"/>
                <w:szCs w:val="24"/>
                <w:lang w:eastAsia="zh-CN"/>
              </w:rPr>
              <w:t>1.3.</w:t>
            </w:r>
            <w:r>
              <w:rPr>
                <w:rFonts w:hint="eastAsia" w:asciiTheme="minorEastAsia" w:hAnsiTheme="minorEastAsia"/>
                <w:color w:val="FF0000"/>
                <w:sz w:val="24"/>
                <w:szCs w:val="24"/>
                <w:lang w:eastAsia="zh-CN"/>
              </w:rPr>
              <w:t>5项规定</w:t>
            </w:r>
          </w:p>
        </w:tc>
      </w:tr>
      <w:tr w14:paraId="0152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78DCB97">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5002A628">
            <w:pPr>
              <w:spacing w:line="300" w:lineRule="auto"/>
              <w:jc w:val="center"/>
              <w:rPr>
                <w:rFonts w:asciiTheme="minorEastAsia" w:hAnsiTheme="minorEastAsia"/>
                <w:color w:val="FF0000"/>
                <w:sz w:val="24"/>
                <w:szCs w:val="24"/>
                <w:lang w:eastAsia="zh-CN"/>
              </w:rPr>
            </w:pPr>
          </w:p>
        </w:tc>
        <w:tc>
          <w:tcPr>
            <w:tcW w:w="1923" w:type="dxa"/>
            <w:vAlign w:val="center"/>
          </w:tcPr>
          <w:p w14:paraId="4E5E572F">
            <w:pPr>
              <w:spacing w:line="300" w:lineRule="auto"/>
              <w:jc w:val="center"/>
              <w:rPr>
                <w:rFonts w:ascii="宋体" w:hAnsi="宋体" w:eastAsia="宋体" w:cs="宋体"/>
                <w:color w:val="FF0000"/>
                <w:spacing w:val="-5"/>
                <w:sz w:val="24"/>
                <w:szCs w:val="24"/>
              </w:rPr>
            </w:pPr>
            <w:r>
              <w:rPr>
                <w:rFonts w:hint="eastAsia" w:ascii="宋体" w:hAnsi="宋体" w:eastAsia="宋体" w:cs="宋体"/>
                <w:color w:val="FF0000"/>
                <w:spacing w:val="-5"/>
                <w:sz w:val="24"/>
                <w:szCs w:val="24"/>
              </w:rPr>
              <w:t>磋商有效期</w:t>
            </w:r>
          </w:p>
        </w:tc>
        <w:tc>
          <w:tcPr>
            <w:tcW w:w="5031" w:type="dxa"/>
            <w:vAlign w:val="center"/>
          </w:tcPr>
          <w:p w14:paraId="048D71A7">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符合第二章</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供应商须知前附表</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第</w:t>
            </w:r>
            <w:r>
              <w:rPr>
                <w:rFonts w:asciiTheme="minorEastAsia" w:hAnsiTheme="minorEastAsia"/>
                <w:color w:val="FF0000"/>
                <w:sz w:val="24"/>
                <w:szCs w:val="24"/>
                <w:lang w:eastAsia="zh-CN"/>
              </w:rPr>
              <w:t>3.3.1</w:t>
            </w:r>
            <w:r>
              <w:rPr>
                <w:rFonts w:hint="eastAsia" w:asciiTheme="minorEastAsia" w:hAnsiTheme="minorEastAsia"/>
                <w:color w:val="FF0000"/>
                <w:sz w:val="24"/>
                <w:szCs w:val="24"/>
                <w:lang w:eastAsia="zh-CN"/>
              </w:rPr>
              <w:t>项规定</w:t>
            </w:r>
          </w:p>
        </w:tc>
      </w:tr>
      <w:tr w14:paraId="3181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557BE4AD">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04ECC0BC">
            <w:pPr>
              <w:spacing w:line="300" w:lineRule="auto"/>
              <w:jc w:val="center"/>
              <w:rPr>
                <w:rFonts w:asciiTheme="minorEastAsia" w:hAnsiTheme="minorEastAsia"/>
                <w:color w:val="FF0000"/>
                <w:sz w:val="24"/>
                <w:szCs w:val="24"/>
                <w:lang w:eastAsia="zh-CN"/>
              </w:rPr>
            </w:pPr>
          </w:p>
        </w:tc>
        <w:tc>
          <w:tcPr>
            <w:tcW w:w="1923" w:type="dxa"/>
            <w:vAlign w:val="center"/>
          </w:tcPr>
          <w:p w14:paraId="66777B76">
            <w:pPr>
              <w:spacing w:line="300" w:lineRule="auto"/>
              <w:jc w:val="center"/>
              <w:rPr>
                <w:rFonts w:ascii="宋体" w:hAnsi="宋体" w:eastAsia="宋体" w:cs="宋体"/>
                <w:color w:val="FF0000"/>
                <w:spacing w:val="-5"/>
                <w:sz w:val="24"/>
                <w:szCs w:val="24"/>
              </w:rPr>
            </w:pPr>
            <w:r>
              <w:rPr>
                <w:rFonts w:hint="eastAsia" w:ascii="宋体" w:hAnsi="宋体" w:eastAsia="宋体" w:cs="宋体"/>
                <w:color w:val="FF0000"/>
                <w:spacing w:val="-5"/>
                <w:sz w:val="24"/>
                <w:szCs w:val="24"/>
              </w:rPr>
              <w:t>权利义务</w:t>
            </w:r>
          </w:p>
        </w:tc>
        <w:tc>
          <w:tcPr>
            <w:tcW w:w="5031" w:type="dxa"/>
            <w:vAlign w:val="center"/>
          </w:tcPr>
          <w:p w14:paraId="5D424922">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符合第四章</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合同条款及格式</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规定</w:t>
            </w:r>
          </w:p>
        </w:tc>
      </w:tr>
      <w:tr w14:paraId="0936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17" w:type="dxa"/>
            <w:vMerge w:val="continue"/>
            <w:vAlign w:val="center"/>
          </w:tcPr>
          <w:p w14:paraId="48BA4778">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6921AC30">
            <w:pPr>
              <w:spacing w:line="300" w:lineRule="auto"/>
              <w:jc w:val="center"/>
              <w:rPr>
                <w:rFonts w:asciiTheme="minorEastAsia" w:hAnsiTheme="minorEastAsia"/>
                <w:color w:val="FF0000"/>
                <w:sz w:val="24"/>
                <w:szCs w:val="24"/>
                <w:lang w:eastAsia="zh-CN"/>
              </w:rPr>
            </w:pPr>
          </w:p>
        </w:tc>
        <w:tc>
          <w:tcPr>
            <w:tcW w:w="1923" w:type="dxa"/>
            <w:vAlign w:val="center"/>
          </w:tcPr>
          <w:p w14:paraId="5641DAE3">
            <w:pPr>
              <w:spacing w:line="300" w:lineRule="auto"/>
              <w:jc w:val="center"/>
              <w:rPr>
                <w:rFonts w:ascii="宋体" w:hAnsi="宋体" w:eastAsia="宋体" w:cs="宋体"/>
                <w:color w:val="FF0000"/>
                <w:spacing w:val="-5"/>
                <w:sz w:val="24"/>
                <w:szCs w:val="24"/>
              </w:rPr>
            </w:pPr>
            <w:r>
              <w:rPr>
                <w:rFonts w:hint="eastAsia" w:ascii="宋体" w:hAnsi="宋体" w:eastAsia="宋体" w:cs="宋体"/>
                <w:color w:val="FF0000"/>
                <w:spacing w:val="-5"/>
                <w:sz w:val="24"/>
                <w:szCs w:val="24"/>
              </w:rPr>
              <w:t>技术标准和要求</w:t>
            </w:r>
          </w:p>
        </w:tc>
        <w:tc>
          <w:tcPr>
            <w:tcW w:w="5031" w:type="dxa"/>
            <w:vAlign w:val="center"/>
          </w:tcPr>
          <w:p w14:paraId="7233E331">
            <w:pPr>
              <w:spacing w:line="300" w:lineRule="auto"/>
              <w:rPr>
                <w:rFonts w:ascii="宋体" w:hAnsi="宋体" w:eastAsia="宋体" w:cs="宋体"/>
                <w:color w:val="FF0000"/>
                <w:spacing w:val="-5"/>
                <w:sz w:val="24"/>
                <w:szCs w:val="24"/>
                <w:lang w:eastAsia="zh-CN"/>
              </w:rPr>
            </w:pPr>
            <w:r>
              <w:rPr>
                <w:rFonts w:hint="eastAsia" w:asciiTheme="minorEastAsia" w:hAnsiTheme="minorEastAsia"/>
                <w:color w:val="FF0000"/>
                <w:sz w:val="24"/>
                <w:szCs w:val="24"/>
                <w:lang w:eastAsia="zh-CN"/>
              </w:rPr>
              <w:t>符合第五章</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项目技术标准及要求</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规定</w:t>
            </w:r>
          </w:p>
        </w:tc>
      </w:tr>
      <w:tr w14:paraId="08C8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dxa"/>
            <w:gridSpan w:val="2"/>
            <w:vAlign w:val="center"/>
          </w:tcPr>
          <w:p w14:paraId="5EAC48D4">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详细磋商</w:t>
            </w:r>
          </w:p>
        </w:tc>
        <w:tc>
          <w:tcPr>
            <w:tcW w:w="6954" w:type="dxa"/>
            <w:gridSpan w:val="2"/>
            <w:vAlign w:val="center"/>
          </w:tcPr>
          <w:p w14:paraId="5B03D2FA">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1.磋商小组根据本章第3.2款内容集中与单一供应商分别进行磋商，磋商结束后，并要求其在规定时间内提交最后报价。</w:t>
            </w:r>
          </w:p>
          <w:p w14:paraId="4C0A2EA0">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2.供应商对所参加磋商项目根据市场行情自主报价，分二次报价（情况特殊,  经磋商小组根据磋商现场情况，可以要求供应商适当进行多轮报价），一次报价须按照磋商文件的报价格式填报，第二次报价在磋商中填报（注：1、最后报价明显低于成本价的，供应商需做出合理说明，否则将承担不被接受的风险。</w:t>
            </w:r>
          </w:p>
          <w:p w14:paraId="37A18620">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3.经磋商确定最终采购需求和提交最后报价的供应商后，由磋商小组采用综合评分法对提交最后报价的供应商的响应文件和最后报价按照本章第2.2款内容进行详细性评审。</w:t>
            </w:r>
          </w:p>
        </w:tc>
      </w:tr>
      <w:tr w14:paraId="6C64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dxa"/>
            <w:gridSpan w:val="2"/>
            <w:vAlign w:val="center"/>
          </w:tcPr>
          <w:p w14:paraId="2C3C1F79">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条款号</w:t>
            </w:r>
          </w:p>
        </w:tc>
        <w:tc>
          <w:tcPr>
            <w:tcW w:w="1923" w:type="dxa"/>
            <w:vAlign w:val="center"/>
          </w:tcPr>
          <w:p w14:paraId="59C1E6EF">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条款内容</w:t>
            </w:r>
          </w:p>
        </w:tc>
        <w:tc>
          <w:tcPr>
            <w:tcW w:w="5031" w:type="dxa"/>
            <w:vAlign w:val="center"/>
          </w:tcPr>
          <w:p w14:paraId="2936D666">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编列内容</w:t>
            </w:r>
          </w:p>
        </w:tc>
      </w:tr>
      <w:tr w14:paraId="6435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dxa"/>
            <w:gridSpan w:val="2"/>
            <w:vAlign w:val="center"/>
          </w:tcPr>
          <w:p w14:paraId="4520BF6A">
            <w:pPr>
              <w:spacing w:line="300" w:lineRule="auto"/>
              <w:jc w:val="center"/>
              <w:rPr>
                <w:rFonts w:asciiTheme="minorEastAsia" w:hAnsiTheme="minorEastAsia"/>
                <w:color w:val="FF0000"/>
                <w:sz w:val="24"/>
                <w:szCs w:val="24"/>
                <w:lang w:eastAsia="zh-CN"/>
              </w:rPr>
            </w:pPr>
            <w:r>
              <w:rPr>
                <w:rFonts w:asciiTheme="minorEastAsia" w:hAnsiTheme="minorEastAsia"/>
                <w:color w:val="FF0000"/>
                <w:sz w:val="24"/>
                <w:szCs w:val="24"/>
                <w:lang w:eastAsia="zh-CN"/>
              </w:rPr>
              <w:t>2.2.1</w:t>
            </w:r>
          </w:p>
        </w:tc>
        <w:tc>
          <w:tcPr>
            <w:tcW w:w="1923" w:type="dxa"/>
            <w:vAlign w:val="center"/>
          </w:tcPr>
          <w:p w14:paraId="1B1EE4EB">
            <w:pPr>
              <w:spacing w:line="300" w:lineRule="auto"/>
              <w:jc w:val="center"/>
              <w:rPr>
                <w:rFonts w:asciiTheme="minorEastAsia" w:hAnsiTheme="minorEastAsia"/>
                <w:color w:val="FF0000"/>
                <w:sz w:val="24"/>
                <w:szCs w:val="24"/>
                <w:lang w:eastAsia="zh-CN"/>
              </w:rPr>
            </w:pPr>
            <w:r>
              <w:rPr>
                <w:rFonts w:asciiTheme="minorEastAsia" w:hAnsiTheme="minorEastAsia"/>
                <w:color w:val="FF0000"/>
                <w:sz w:val="24"/>
                <w:szCs w:val="24"/>
                <w:lang w:eastAsia="zh-CN"/>
              </w:rPr>
              <w:t>分值构成(总分100分)</w:t>
            </w:r>
          </w:p>
        </w:tc>
        <w:tc>
          <w:tcPr>
            <w:tcW w:w="5031" w:type="dxa"/>
            <w:vAlign w:val="center"/>
          </w:tcPr>
          <w:p w14:paraId="0A20761C">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报价得分：30分</w:t>
            </w:r>
          </w:p>
          <w:p w14:paraId="393DB6E1">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技术部分：</w:t>
            </w:r>
            <w:r>
              <w:rPr>
                <w:rFonts w:hint="eastAsia" w:asciiTheme="minorEastAsia" w:hAnsiTheme="minorEastAsia"/>
                <w:color w:val="FF0000"/>
                <w:sz w:val="24"/>
                <w:szCs w:val="24"/>
                <w:lang w:val="en-US" w:eastAsia="zh-CN"/>
              </w:rPr>
              <w:t>30</w:t>
            </w:r>
            <w:r>
              <w:rPr>
                <w:rFonts w:hint="eastAsia" w:asciiTheme="minorEastAsia" w:hAnsiTheme="minorEastAsia"/>
                <w:color w:val="FF0000"/>
                <w:sz w:val="24"/>
                <w:szCs w:val="24"/>
                <w:lang w:eastAsia="zh-CN"/>
              </w:rPr>
              <w:t>分</w:t>
            </w:r>
          </w:p>
          <w:p w14:paraId="2DB0C2AA">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综合实力：</w:t>
            </w:r>
            <w:r>
              <w:rPr>
                <w:rFonts w:hint="eastAsia" w:asciiTheme="minorEastAsia" w:hAnsiTheme="minorEastAsia"/>
                <w:color w:val="FF0000"/>
                <w:sz w:val="24"/>
                <w:szCs w:val="24"/>
                <w:lang w:val="en-US" w:eastAsia="zh-CN"/>
              </w:rPr>
              <w:t>40</w:t>
            </w:r>
            <w:r>
              <w:rPr>
                <w:rFonts w:hint="eastAsia" w:asciiTheme="minorEastAsia" w:hAnsiTheme="minorEastAsia"/>
                <w:color w:val="FF0000"/>
                <w:sz w:val="24"/>
                <w:szCs w:val="24"/>
                <w:lang w:eastAsia="zh-CN"/>
              </w:rPr>
              <w:t>分</w:t>
            </w:r>
          </w:p>
        </w:tc>
      </w:tr>
      <w:tr w14:paraId="39AA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dxa"/>
            <w:gridSpan w:val="2"/>
            <w:vAlign w:val="center"/>
          </w:tcPr>
          <w:p w14:paraId="3594FFB1">
            <w:pPr>
              <w:spacing w:before="228" w:line="300" w:lineRule="auto"/>
              <w:jc w:val="center"/>
              <w:rPr>
                <w:rFonts w:ascii="宋体" w:hAnsi="宋体" w:eastAsia="宋体" w:cs="宋体"/>
                <w:color w:val="FF0000"/>
                <w:sz w:val="24"/>
                <w:szCs w:val="24"/>
              </w:rPr>
            </w:pPr>
            <w:r>
              <w:rPr>
                <w:rFonts w:ascii="宋体" w:hAnsi="宋体" w:eastAsia="宋体" w:cs="宋体"/>
                <w:color w:val="FF0000"/>
                <w:spacing w:val="-2"/>
                <w:sz w:val="24"/>
                <w:szCs w:val="24"/>
              </w:rPr>
              <w:t>条款号</w:t>
            </w:r>
          </w:p>
        </w:tc>
        <w:tc>
          <w:tcPr>
            <w:tcW w:w="1923" w:type="dxa"/>
            <w:vAlign w:val="center"/>
          </w:tcPr>
          <w:p w14:paraId="2D774F91">
            <w:pPr>
              <w:spacing w:before="228" w:line="300" w:lineRule="auto"/>
              <w:jc w:val="center"/>
              <w:rPr>
                <w:rFonts w:ascii="宋体" w:hAnsi="宋体" w:eastAsia="宋体" w:cs="宋体"/>
                <w:color w:val="FF0000"/>
                <w:sz w:val="24"/>
                <w:szCs w:val="24"/>
              </w:rPr>
            </w:pPr>
            <w:r>
              <w:rPr>
                <w:rFonts w:ascii="宋体" w:hAnsi="宋体" w:eastAsia="宋体" w:cs="宋体"/>
                <w:color w:val="FF0000"/>
                <w:spacing w:val="-1"/>
                <w:sz w:val="24"/>
                <w:szCs w:val="24"/>
              </w:rPr>
              <w:t>评分因素</w:t>
            </w:r>
          </w:p>
        </w:tc>
        <w:tc>
          <w:tcPr>
            <w:tcW w:w="5031" w:type="dxa"/>
            <w:vAlign w:val="center"/>
          </w:tcPr>
          <w:p w14:paraId="6DF826F2">
            <w:pPr>
              <w:spacing w:before="229" w:line="300" w:lineRule="auto"/>
              <w:jc w:val="center"/>
              <w:rPr>
                <w:rFonts w:ascii="宋体" w:hAnsi="宋体" w:eastAsia="宋体" w:cs="宋体"/>
                <w:color w:val="FF0000"/>
                <w:sz w:val="24"/>
                <w:szCs w:val="24"/>
              </w:rPr>
            </w:pPr>
            <w:r>
              <w:rPr>
                <w:rFonts w:ascii="宋体" w:hAnsi="宋体" w:eastAsia="宋体" w:cs="宋体"/>
                <w:color w:val="FF0000"/>
                <w:spacing w:val="-1"/>
                <w:sz w:val="24"/>
                <w:szCs w:val="24"/>
              </w:rPr>
              <w:t>评分标准</w:t>
            </w:r>
          </w:p>
        </w:tc>
      </w:tr>
      <w:tr w14:paraId="3C82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A230D35">
            <w:pPr>
              <w:spacing w:line="300" w:lineRule="auto"/>
              <w:jc w:val="center"/>
              <w:rPr>
                <w:rFonts w:asciiTheme="minorEastAsia" w:hAnsiTheme="minorEastAsia"/>
                <w:color w:val="FF0000"/>
                <w:sz w:val="24"/>
                <w:szCs w:val="24"/>
                <w:lang w:eastAsia="zh-CN"/>
              </w:rPr>
            </w:pPr>
            <w:r>
              <w:rPr>
                <w:rFonts w:asciiTheme="minorEastAsia" w:hAnsiTheme="minorEastAsia"/>
                <w:color w:val="FF0000"/>
                <w:sz w:val="24"/>
                <w:szCs w:val="24"/>
                <w:lang w:eastAsia="zh-CN"/>
              </w:rPr>
              <w:t>2.2.2</w:t>
            </w:r>
          </w:p>
          <w:p w14:paraId="3FA7EB66">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（1）</w:t>
            </w:r>
          </w:p>
        </w:tc>
        <w:tc>
          <w:tcPr>
            <w:tcW w:w="936" w:type="dxa"/>
            <w:vAlign w:val="center"/>
          </w:tcPr>
          <w:p w14:paraId="1303D333">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报价得分（30分）</w:t>
            </w:r>
          </w:p>
        </w:tc>
        <w:tc>
          <w:tcPr>
            <w:tcW w:w="1923" w:type="dxa"/>
            <w:vAlign w:val="center"/>
          </w:tcPr>
          <w:p w14:paraId="02E8AC23">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磋商报价评分标准</w:t>
            </w:r>
          </w:p>
        </w:tc>
        <w:tc>
          <w:tcPr>
            <w:tcW w:w="5031" w:type="dxa"/>
            <w:vAlign w:val="center"/>
          </w:tcPr>
          <w:p w14:paraId="35B09E14">
            <w:pPr>
              <w:spacing w:line="300" w:lineRule="auto"/>
              <w:rPr>
                <w:rFonts w:asciiTheme="minorEastAsia" w:hAnsiTheme="minorEastAsia"/>
                <w:b/>
                <w:color w:val="FF0000"/>
                <w:sz w:val="24"/>
                <w:szCs w:val="24"/>
                <w:lang w:eastAsia="zh-CN"/>
              </w:rPr>
            </w:pPr>
            <w:r>
              <w:rPr>
                <w:rFonts w:hint="eastAsia" w:asciiTheme="minorEastAsia" w:hAnsiTheme="minorEastAsia"/>
                <w:b/>
                <w:color w:val="FF0000"/>
                <w:sz w:val="24"/>
                <w:szCs w:val="24"/>
                <w:lang w:eastAsia="zh-CN"/>
              </w:rPr>
              <w:t>超过采购预算价（最高限价）的磋商报价采购人不予接受，按无效标处理。</w:t>
            </w:r>
          </w:p>
          <w:p w14:paraId="01800D67">
            <w:pPr>
              <w:spacing w:line="300" w:lineRule="auto"/>
              <w:rPr>
                <w:rFonts w:asciiTheme="minorEastAsia" w:hAnsiTheme="minorEastAsia"/>
                <w:color w:val="FF0000"/>
                <w:sz w:val="24"/>
                <w:szCs w:val="24"/>
                <w:lang w:eastAsia="zh-CN"/>
              </w:rPr>
            </w:pPr>
            <w:r>
              <w:rPr>
                <w:rFonts w:hint="eastAsia" w:asciiTheme="minorEastAsia" w:hAnsiTheme="minorEastAsia"/>
                <w:b/>
                <w:color w:val="FF0000"/>
                <w:sz w:val="24"/>
                <w:szCs w:val="24"/>
                <w:lang w:eastAsia="zh-CN"/>
              </w:rPr>
              <w:t>价格扣除：</w:t>
            </w:r>
            <w:r>
              <w:rPr>
                <w:rFonts w:hint="eastAsia" w:asciiTheme="minorEastAsia" w:hAnsiTheme="minorEastAsia"/>
                <w:color w:val="FF0000"/>
                <w:sz w:val="24"/>
                <w:szCs w:val="24"/>
                <w:lang w:eastAsia="zh-CN"/>
              </w:rPr>
              <w:t>根据“关于印发《政府采购促进中小企业发展管理办法》的通知(财库[2020]46号)”及“财库〔2022〕19号”的规定，对于非专门面向中小企业的项目，对小微企业报价给予3%的扣除，用扣除后的价格参加评审。中小企业参加政府采购活动，应当在投标（响应）文件中提供《中小企业声明函》，否则不得享受相关中小企业扶持政策。投标人（供应商）否则不予认可。</w:t>
            </w:r>
          </w:p>
          <w:p w14:paraId="6942205C">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根据 《财政部、司法部关于政府采购支持监狱企业发展有关问题的通知》（财库[2014]68 号）规定，本项目支持监狱企业参与政府采购活动。监狱企业参加本项目采购时，须提供由省级以上监狱管理局、戒毒管理局（含新疆生产建设兵团）出具的属于监狱企业的证明文件，视同小型、微型企业，享受评审中价格扣除等政府采购促进中小企业发展的政府采购政策，监狱企业属于小型、微型企业的，不重复享受政策。</w:t>
            </w:r>
          </w:p>
          <w:p w14:paraId="477F8E71">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根据《关于促进残疾人就业政府采购政策的通知》（财库 〔2017〕141号）文件规定，本项目支持残疾人福利性单位参与政府采购活动。符合条件的残疾人福利性单位参加本项目采购时，应当提供本通知规定的《残疾人福利性单位声明函》，并对声明的真实性负责，视同小型、微型企业，享受评审中价格扣除等政府采购促进中小企业发展的政府采购政策，残疾人福利性单位属于小型、微型企业的，不重复享受政策。</w:t>
            </w:r>
          </w:p>
          <w:p w14:paraId="3F7E91DC">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评标报价=符合小微（监狱、残疾人福利性）要求的企业报价×（1-3%）</w:t>
            </w:r>
          </w:p>
          <w:p w14:paraId="1AE5FA2B">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同一供应商，小微企业、监狱、残疾人福利性企业同一产品价格扣除优惠只享受一次，不得重复享受。</w:t>
            </w:r>
          </w:p>
          <w:p w14:paraId="5FE5B8A4">
            <w:pPr>
              <w:spacing w:line="300" w:lineRule="auto"/>
              <w:rPr>
                <w:rFonts w:asciiTheme="minorEastAsia" w:hAnsiTheme="minorEastAsia"/>
                <w:color w:val="FF0000"/>
                <w:sz w:val="24"/>
                <w:szCs w:val="24"/>
                <w:lang w:eastAsia="zh-CN"/>
              </w:rPr>
            </w:pPr>
            <w:r>
              <w:rPr>
                <w:rFonts w:hint="eastAsia" w:asciiTheme="minorEastAsia" w:hAnsiTheme="minorEastAsia"/>
                <w:b/>
                <w:color w:val="FF0000"/>
                <w:sz w:val="24"/>
                <w:szCs w:val="24"/>
                <w:lang w:eastAsia="zh-CN"/>
              </w:rPr>
              <w:t>价格分采用低价优先法计算</w:t>
            </w:r>
            <w:r>
              <w:rPr>
                <w:rFonts w:hint="eastAsia" w:asciiTheme="minorEastAsia" w:hAnsiTheme="minorEastAsia"/>
                <w:color w:val="FF0000"/>
                <w:sz w:val="24"/>
                <w:szCs w:val="24"/>
                <w:lang w:eastAsia="zh-CN"/>
              </w:rPr>
              <w:t>，即满足磋商文件要求且响应报价最低的为评标基准价，其价格分为满分。</w:t>
            </w:r>
          </w:p>
          <w:p w14:paraId="2824D699">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其他供应商的价格分统一按照下列公式计算：投标报价得分=(评标基准价／响应报价)×30</w:t>
            </w:r>
          </w:p>
        </w:tc>
      </w:tr>
      <w:tr w14:paraId="2B62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0497ECD3">
            <w:pPr>
              <w:spacing w:line="300" w:lineRule="auto"/>
              <w:jc w:val="center"/>
              <w:rPr>
                <w:rFonts w:asciiTheme="minorEastAsia" w:hAnsiTheme="minorEastAsia"/>
                <w:color w:val="FF0000"/>
                <w:sz w:val="24"/>
                <w:szCs w:val="24"/>
                <w:lang w:eastAsia="zh-CN"/>
              </w:rPr>
            </w:pPr>
            <w:r>
              <w:rPr>
                <w:rFonts w:asciiTheme="minorEastAsia" w:hAnsiTheme="minorEastAsia"/>
                <w:color w:val="FF0000"/>
                <w:sz w:val="24"/>
                <w:szCs w:val="24"/>
                <w:lang w:eastAsia="zh-CN"/>
              </w:rPr>
              <w:t>2.2.2</w:t>
            </w:r>
          </w:p>
          <w:p w14:paraId="0235D7E3">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（2）</w:t>
            </w:r>
          </w:p>
        </w:tc>
        <w:tc>
          <w:tcPr>
            <w:tcW w:w="936" w:type="dxa"/>
            <w:vMerge w:val="restart"/>
            <w:vAlign w:val="center"/>
          </w:tcPr>
          <w:p w14:paraId="0D7EFCB8">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技术部分（施工组织设计）（</w:t>
            </w:r>
            <w:r>
              <w:rPr>
                <w:rFonts w:hint="eastAsia" w:asciiTheme="minorEastAsia" w:hAnsiTheme="minorEastAsia"/>
                <w:color w:val="FF0000"/>
                <w:sz w:val="24"/>
                <w:szCs w:val="24"/>
                <w:lang w:val="en-US" w:eastAsia="zh-CN"/>
              </w:rPr>
              <w:t>30</w:t>
            </w:r>
            <w:r>
              <w:rPr>
                <w:rFonts w:hint="eastAsia" w:asciiTheme="minorEastAsia" w:hAnsiTheme="minorEastAsia"/>
                <w:color w:val="FF0000"/>
                <w:sz w:val="24"/>
                <w:szCs w:val="24"/>
                <w:lang w:eastAsia="zh-CN"/>
              </w:rPr>
              <w:t>）</w:t>
            </w:r>
          </w:p>
        </w:tc>
        <w:tc>
          <w:tcPr>
            <w:tcW w:w="1923" w:type="dxa"/>
            <w:vAlign w:val="center"/>
          </w:tcPr>
          <w:p w14:paraId="77D3E6D9">
            <w:pPr>
              <w:spacing w:line="300" w:lineRule="auto"/>
              <w:ind w:right="101"/>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施工方案与</w:t>
            </w:r>
          </w:p>
          <w:p w14:paraId="33806E97">
            <w:pPr>
              <w:spacing w:line="300" w:lineRule="auto"/>
              <w:ind w:right="101"/>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技术措施</w:t>
            </w:r>
          </w:p>
          <w:p w14:paraId="477F2A20">
            <w:pPr>
              <w:spacing w:line="300" w:lineRule="auto"/>
              <w:ind w:right="101"/>
              <w:jc w:val="center"/>
              <w:rPr>
                <w:rFonts w:ascii="宋体" w:hAnsi="宋体" w:eastAsia="宋体" w:cs="宋体"/>
                <w:color w:val="FF0000"/>
                <w:spacing w:val="-6"/>
                <w:sz w:val="24"/>
                <w:szCs w:val="24"/>
                <w:lang w:eastAsia="zh-CN"/>
              </w:rPr>
            </w:pP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6</w:t>
            </w:r>
            <w:r>
              <w:rPr>
                <w:rFonts w:hint="eastAsia" w:ascii="宋体" w:hAnsi="宋体" w:eastAsia="宋体" w:cs="宋体"/>
                <w:color w:val="FF0000"/>
                <w:sz w:val="24"/>
                <w:szCs w:val="24"/>
                <w:lang w:eastAsia="zh-CN"/>
              </w:rPr>
              <w:t>分)</w:t>
            </w:r>
          </w:p>
        </w:tc>
        <w:tc>
          <w:tcPr>
            <w:tcW w:w="5031" w:type="dxa"/>
            <w:vAlign w:val="center"/>
          </w:tcPr>
          <w:p w14:paraId="27092C95">
            <w:pPr>
              <w:spacing w:line="300" w:lineRule="auto"/>
              <w:ind w:right="101"/>
              <w:rPr>
                <w:rFonts w:ascii="宋体" w:hAnsi="宋体" w:eastAsia="宋体" w:cs="宋体"/>
                <w:color w:val="FF0000"/>
                <w:sz w:val="24"/>
                <w:szCs w:val="24"/>
                <w:lang w:eastAsia="zh-CN"/>
              </w:rPr>
            </w:pPr>
            <w:r>
              <w:rPr>
                <w:rFonts w:hint="eastAsia" w:ascii="宋体" w:hAnsi="宋体" w:eastAsia="宋体" w:cs="宋体"/>
                <w:color w:val="FF0000"/>
                <w:sz w:val="24"/>
                <w:szCs w:val="24"/>
                <w:lang w:eastAsia="zh-CN"/>
              </w:rPr>
              <w:t>磋商小组依据各供应商磋商响应文件中施工方案与技术措施进行评分。</w:t>
            </w:r>
          </w:p>
          <w:p w14:paraId="6D979B61">
            <w:pPr>
              <w:spacing w:line="300" w:lineRule="auto"/>
              <w:ind w:right="101"/>
              <w:rPr>
                <w:rFonts w:ascii="宋体" w:hAnsi="宋体" w:eastAsia="宋体" w:cs="宋体"/>
                <w:color w:val="FF0000"/>
                <w:sz w:val="24"/>
                <w:szCs w:val="24"/>
                <w:lang w:eastAsia="zh-CN"/>
              </w:rPr>
            </w:pPr>
            <w:r>
              <w:rPr>
                <w:rFonts w:hint="eastAsia" w:ascii="宋体" w:hAnsi="宋体" w:eastAsia="宋体" w:cs="宋体"/>
                <w:color w:val="FF0000"/>
                <w:sz w:val="24"/>
                <w:szCs w:val="24"/>
                <w:lang w:eastAsia="zh-CN"/>
              </w:rPr>
              <w:t>1.施工方案（含工程特点、施工重点与难点及施工工序和施工方法）总体安排合理，运用先进、合理的施工工艺、施工机械；对施工难点有先进和合理的建议。）（</w:t>
            </w:r>
            <w:r>
              <w:rPr>
                <w:rFonts w:hint="eastAsia" w:ascii="宋体" w:hAnsi="宋体" w:eastAsia="宋体" w:cs="宋体"/>
                <w:color w:val="FF0000"/>
                <w:sz w:val="24"/>
                <w:szCs w:val="24"/>
                <w:lang w:val="en-US" w:eastAsia="zh-CN"/>
              </w:rPr>
              <w:t>5-6</w:t>
            </w:r>
            <w:r>
              <w:rPr>
                <w:rFonts w:hint="eastAsia" w:ascii="宋体" w:hAnsi="宋体" w:eastAsia="宋体" w:cs="宋体"/>
                <w:color w:val="FF0000"/>
                <w:sz w:val="24"/>
                <w:szCs w:val="24"/>
                <w:lang w:eastAsia="zh-CN"/>
              </w:rPr>
              <w:t>分）</w:t>
            </w:r>
          </w:p>
          <w:p w14:paraId="133FDE97">
            <w:pPr>
              <w:spacing w:line="300" w:lineRule="auto"/>
              <w:ind w:right="101"/>
              <w:rPr>
                <w:rFonts w:ascii="宋体" w:hAnsi="宋体" w:eastAsia="宋体" w:cs="宋体"/>
                <w:color w:val="FF0000"/>
                <w:sz w:val="24"/>
                <w:szCs w:val="24"/>
                <w:lang w:eastAsia="zh-CN"/>
              </w:rPr>
            </w:pPr>
            <w:r>
              <w:rPr>
                <w:rFonts w:hint="eastAsia" w:ascii="宋体" w:hAnsi="宋体" w:eastAsia="宋体" w:cs="宋体"/>
                <w:color w:val="FF0000"/>
                <w:sz w:val="24"/>
                <w:szCs w:val="24"/>
                <w:lang w:eastAsia="zh-CN"/>
              </w:rPr>
              <w:t>2.施工方案（含工程特点、施工重点与难点及施工工序和施工方法）总体安排合理，施工工艺、施工机械合理、可行；对施工难点有合理的建议。）（</w:t>
            </w:r>
            <w:r>
              <w:rPr>
                <w:rFonts w:hint="eastAsia" w:ascii="宋体" w:hAnsi="宋体" w:eastAsia="宋体" w:cs="宋体"/>
                <w:color w:val="FF0000"/>
                <w:sz w:val="24"/>
                <w:szCs w:val="24"/>
                <w:lang w:val="en-US" w:eastAsia="zh-CN"/>
              </w:rPr>
              <w:t>3-4</w:t>
            </w:r>
            <w:r>
              <w:rPr>
                <w:rFonts w:hint="eastAsia" w:ascii="宋体" w:hAnsi="宋体" w:eastAsia="宋体" w:cs="宋体"/>
                <w:color w:val="FF0000"/>
                <w:sz w:val="24"/>
                <w:szCs w:val="24"/>
                <w:lang w:eastAsia="zh-CN"/>
              </w:rPr>
              <w:t>分）</w:t>
            </w:r>
          </w:p>
          <w:p w14:paraId="7F91D0CF">
            <w:pPr>
              <w:spacing w:line="300" w:lineRule="auto"/>
              <w:ind w:right="101"/>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3.施工方案与技术措施基本完整。（</w:t>
            </w:r>
            <w:r>
              <w:rPr>
                <w:rFonts w:hint="eastAsia" w:ascii="宋体" w:hAnsi="宋体" w:eastAsia="宋体" w:cs="宋体"/>
                <w:color w:val="FF0000"/>
                <w:sz w:val="24"/>
                <w:szCs w:val="24"/>
                <w:lang w:val="en-US" w:eastAsia="zh-CN"/>
              </w:rPr>
              <w:t>1-2</w:t>
            </w:r>
            <w:r>
              <w:rPr>
                <w:rFonts w:hint="eastAsia" w:ascii="宋体" w:hAnsi="宋体" w:eastAsia="宋体" w:cs="宋体"/>
                <w:color w:val="FF0000"/>
                <w:sz w:val="24"/>
                <w:szCs w:val="24"/>
                <w:lang w:eastAsia="zh-CN"/>
              </w:rPr>
              <w:t>分）</w:t>
            </w:r>
          </w:p>
          <w:p w14:paraId="5A5B7716">
            <w:pPr>
              <w:pStyle w:val="2"/>
              <w:rPr>
                <w:rFonts w:hint="default"/>
                <w:color w:val="FF0000"/>
                <w:lang w:val="en-US" w:eastAsia="zh-CN"/>
              </w:rPr>
            </w:pPr>
            <w:r>
              <w:rPr>
                <w:rFonts w:hint="eastAsia" w:ascii="宋体" w:hAnsi="宋体" w:cs="宋体"/>
                <w:color w:val="FF0000"/>
                <w:sz w:val="24"/>
                <w:szCs w:val="24"/>
                <w:lang w:val="en-US" w:eastAsia="zh-CN"/>
              </w:rPr>
              <w:t>4.未提供的，该项不得分。</w:t>
            </w:r>
          </w:p>
        </w:tc>
      </w:tr>
      <w:tr w14:paraId="2A36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72DAD74">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3CD38720">
            <w:pPr>
              <w:spacing w:line="300" w:lineRule="auto"/>
              <w:jc w:val="center"/>
              <w:rPr>
                <w:rFonts w:asciiTheme="minorEastAsia" w:hAnsiTheme="minorEastAsia"/>
                <w:color w:val="FF0000"/>
                <w:sz w:val="24"/>
                <w:szCs w:val="24"/>
                <w:lang w:eastAsia="zh-CN"/>
              </w:rPr>
            </w:pPr>
          </w:p>
        </w:tc>
        <w:tc>
          <w:tcPr>
            <w:tcW w:w="1923" w:type="dxa"/>
            <w:vAlign w:val="center"/>
          </w:tcPr>
          <w:p w14:paraId="018D9365">
            <w:pPr>
              <w:spacing w:line="300" w:lineRule="auto"/>
              <w:ind w:right="101"/>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质量、安全、</w:t>
            </w:r>
            <w:r>
              <w:rPr>
                <w:rFonts w:hint="eastAsia" w:ascii="宋体" w:hAnsi="宋体" w:eastAsia="宋体" w:cs="宋体"/>
                <w:color w:val="FF0000"/>
                <w:sz w:val="24"/>
                <w:szCs w:val="24"/>
                <w:lang w:eastAsia="zh-CN"/>
              </w:rPr>
              <w:t>文明施工、环境保护管理体系与措施</w:t>
            </w:r>
          </w:p>
          <w:p w14:paraId="03057716">
            <w:pPr>
              <w:spacing w:line="300" w:lineRule="auto"/>
              <w:ind w:right="101"/>
              <w:jc w:val="center"/>
              <w:rPr>
                <w:rFonts w:ascii="宋体" w:hAnsi="宋体" w:eastAsia="宋体" w:cs="宋体"/>
                <w:bCs/>
                <w:color w:val="FF0000"/>
                <w:kern w:val="2"/>
                <w:sz w:val="24"/>
                <w:szCs w:val="24"/>
                <w:lang w:eastAsia="zh-CN"/>
              </w:rPr>
            </w:pP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6</w:t>
            </w:r>
            <w:r>
              <w:rPr>
                <w:rFonts w:hint="eastAsia" w:ascii="宋体" w:hAnsi="宋体" w:eastAsia="宋体" w:cs="宋体"/>
                <w:color w:val="FF0000"/>
                <w:sz w:val="24"/>
                <w:szCs w:val="24"/>
                <w:lang w:eastAsia="zh-CN"/>
              </w:rPr>
              <w:t>分）</w:t>
            </w:r>
          </w:p>
        </w:tc>
        <w:tc>
          <w:tcPr>
            <w:tcW w:w="5031" w:type="dxa"/>
            <w:vAlign w:val="center"/>
          </w:tcPr>
          <w:p w14:paraId="5D004081">
            <w:pPr>
              <w:widowControl w:val="0"/>
              <w:kinsoku/>
              <w:topLinePunct/>
              <w:autoSpaceDE/>
              <w:autoSpaceDN/>
              <w:adjustRightInd/>
              <w:snapToGrid/>
              <w:spacing w:line="300" w:lineRule="auto"/>
              <w:textAlignment w:val="auto"/>
              <w:rPr>
                <w:rFonts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t>磋商小组依据各供应商磋商响应文件中质量、安全、文明施工、环境保护管理体系与措施进行评分。</w:t>
            </w:r>
          </w:p>
          <w:p w14:paraId="21CB723F">
            <w:pPr>
              <w:spacing w:line="300" w:lineRule="auto"/>
              <w:rPr>
                <w:rFonts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t>1.对项目提出先进、可行、具体的保证措施。工程质量保证措施完整得力、经济、安全、切实可行、针对性强；根据工程特点制定相应的安全管理措施科学合理、先进可行；创安全文明标准化工地目标明确，有针对项目实际情况，科学可行的创建计划和符合相关标准、规范、规程的创建保证措施和安全文明措施费用投入使用计划，现场施工区、生活区、办公区等设置科学规范，符合有关文明施工、环境卫生的规定，防治方案科学、先进。（</w:t>
            </w:r>
            <w:r>
              <w:rPr>
                <w:rFonts w:hint="eastAsia" w:ascii="宋体" w:hAnsi="宋体" w:eastAsia="宋体" w:cs="宋体"/>
                <w:color w:val="FF0000"/>
                <w:sz w:val="24"/>
                <w:szCs w:val="24"/>
                <w:highlight w:val="none"/>
                <w:lang w:val="en-US" w:eastAsia="zh-CN"/>
              </w:rPr>
              <w:t>5-6</w:t>
            </w:r>
            <w:r>
              <w:rPr>
                <w:rFonts w:hint="eastAsia" w:ascii="宋体" w:hAnsi="宋体" w:eastAsia="宋体" w:cs="宋体"/>
                <w:color w:val="FF0000"/>
                <w:sz w:val="24"/>
                <w:szCs w:val="24"/>
                <w:highlight w:val="none"/>
                <w:lang w:eastAsia="zh-CN"/>
              </w:rPr>
              <w:t>分）</w:t>
            </w:r>
          </w:p>
          <w:p w14:paraId="713E4959">
            <w:pPr>
              <w:spacing w:line="300" w:lineRule="auto"/>
              <w:rPr>
                <w:rFonts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t>2.工程质量保证措施经济、安全、基本可行、针对性较强；根据工程特点制定相应的安全管理措施基本合理、措施基本可行。有安全文明标准化工地创建目标计划和创建措施，有安全文明措施费用投入使用计划，现场施工区、生活区、办公区等设置符合有关文明施工、环境卫生的规定，防治方案基本合理。（</w:t>
            </w:r>
            <w:r>
              <w:rPr>
                <w:rFonts w:hint="eastAsia" w:ascii="宋体" w:hAnsi="宋体" w:eastAsia="宋体" w:cs="宋体"/>
                <w:color w:val="FF0000"/>
                <w:sz w:val="24"/>
                <w:szCs w:val="24"/>
                <w:highlight w:val="none"/>
                <w:lang w:val="en-US" w:eastAsia="zh-CN"/>
              </w:rPr>
              <w:t>3-4</w:t>
            </w:r>
            <w:r>
              <w:rPr>
                <w:rFonts w:hint="eastAsia" w:ascii="宋体" w:hAnsi="宋体" w:eastAsia="宋体" w:cs="宋体"/>
                <w:color w:val="FF0000"/>
                <w:sz w:val="24"/>
                <w:szCs w:val="24"/>
                <w:highlight w:val="none"/>
                <w:lang w:eastAsia="zh-CN"/>
              </w:rPr>
              <w:t>分）</w:t>
            </w:r>
          </w:p>
          <w:p w14:paraId="45CD5856">
            <w:pPr>
              <w:spacing w:line="300" w:lineRule="auto"/>
              <w:rPr>
                <w:rFonts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t>3.工程质量保证措施经济、安全、针对性一般；根据工程特点制定相应的安全管理措施合理性一般、措施可行性一般。文明施工、环境保护管理体系措施一般。（</w:t>
            </w:r>
            <w:r>
              <w:rPr>
                <w:rFonts w:hint="eastAsia" w:ascii="宋体" w:hAnsi="宋体" w:eastAsia="宋体" w:cs="宋体"/>
                <w:color w:val="FF0000"/>
                <w:sz w:val="24"/>
                <w:szCs w:val="24"/>
                <w:highlight w:val="none"/>
                <w:lang w:val="en-US" w:eastAsia="zh-CN"/>
              </w:rPr>
              <w:t>1-2</w:t>
            </w:r>
            <w:r>
              <w:rPr>
                <w:rFonts w:hint="eastAsia" w:ascii="宋体" w:hAnsi="宋体" w:eastAsia="宋体" w:cs="宋体"/>
                <w:color w:val="FF0000"/>
                <w:sz w:val="24"/>
                <w:szCs w:val="24"/>
                <w:highlight w:val="none"/>
                <w:lang w:eastAsia="zh-CN"/>
              </w:rPr>
              <w:t>分）</w:t>
            </w:r>
          </w:p>
          <w:p w14:paraId="38036034">
            <w:pPr>
              <w:pStyle w:val="8"/>
              <w:rPr>
                <w:rFonts w:ascii="宋体" w:hAnsi="宋体" w:eastAsia="宋体" w:cs="宋体"/>
                <w:snapToGrid w:val="0"/>
                <w:color w:val="FF0000"/>
                <w:kern w:val="0"/>
                <w:sz w:val="21"/>
                <w:szCs w:val="21"/>
                <w:highlight w:val="none"/>
                <w:lang w:val="en-US" w:eastAsia="zh-CN" w:bidi="ar-SA"/>
              </w:rPr>
            </w:pPr>
            <w:r>
              <w:rPr>
                <w:rFonts w:hint="eastAsia"/>
                <w:color w:val="FF0000"/>
                <w:sz w:val="24"/>
                <w:highlight w:val="none"/>
                <w:lang w:eastAsia="zh-CN"/>
              </w:rPr>
              <w:t>4.未提供</w:t>
            </w:r>
            <w:r>
              <w:rPr>
                <w:rFonts w:hint="eastAsia"/>
                <w:color w:val="FF0000"/>
                <w:sz w:val="24"/>
                <w:highlight w:val="none"/>
                <w:lang w:val="en-US" w:eastAsia="zh-CN"/>
              </w:rPr>
              <w:t>的，该项不得分</w:t>
            </w:r>
            <w:r>
              <w:rPr>
                <w:rFonts w:hint="eastAsia"/>
                <w:color w:val="FF0000"/>
                <w:sz w:val="24"/>
                <w:highlight w:val="none"/>
                <w:lang w:eastAsia="zh-CN"/>
              </w:rPr>
              <w:t>。</w:t>
            </w:r>
          </w:p>
        </w:tc>
      </w:tr>
      <w:tr w14:paraId="2ECE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3D00541">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2FD0CF9F">
            <w:pPr>
              <w:spacing w:line="300" w:lineRule="auto"/>
              <w:jc w:val="center"/>
              <w:rPr>
                <w:rFonts w:asciiTheme="minorEastAsia" w:hAnsiTheme="minorEastAsia"/>
                <w:color w:val="FF0000"/>
                <w:sz w:val="24"/>
                <w:szCs w:val="24"/>
                <w:lang w:eastAsia="zh-CN"/>
              </w:rPr>
            </w:pPr>
          </w:p>
        </w:tc>
        <w:tc>
          <w:tcPr>
            <w:tcW w:w="1923" w:type="dxa"/>
            <w:vAlign w:val="center"/>
          </w:tcPr>
          <w:p w14:paraId="19390CC5">
            <w:pPr>
              <w:spacing w:before="69" w:line="300" w:lineRule="auto"/>
              <w:ind w:left="190"/>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工程进度</w:t>
            </w:r>
          </w:p>
          <w:p w14:paraId="164362DD">
            <w:pPr>
              <w:spacing w:before="69" w:line="300" w:lineRule="auto"/>
              <w:ind w:left="190"/>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计划与措施</w:t>
            </w:r>
          </w:p>
          <w:p w14:paraId="6F25B3AC">
            <w:pPr>
              <w:spacing w:before="69" w:line="300" w:lineRule="auto"/>
              <w:ind w:left="190"/>
              <w:jc w:val="center"/>
              <w:rPr>
                <w:rFonts w:asciiTheme="minorEastAsia" w:hAnsiTheme="minorEastAsia"/>
                <w:color w:val="FF0000"/>
                <w:sz w:val="24"/>
                <w:szCs w:val="24"/>
                <w:lang w:eastAsia="zh-CN"/>
              </w:rPr>
            </w:pP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6</w:t>
            </w:r>
            <w:r>
              <w:rPr>
                <w:rFonts w:hint="eastAsia" w:ascii="宋体" w:hAnsi="宋体" w:eastAsia="宋体" w:cs="宋体"/>
                <w:color w:val="FF0000"/>
                <w:sz w:val="24"/>
                <w:szCs w:val="24"/>
                <w:lang w:eastAsia="zh-CN"/>
              </w:rPr>
              <w:t>分）</w:t>
            </w:r>
          </w:p>
        </w:tc>
        <w:tc>
          <w:tcPr>
            <w:tcW w:w="5031" w:type="dxa"/>
          </w:tcPr>
          <w:p w14:paraId="78AB50F5">
            <w:pPr>
              <w:widowControl w:val="0"/>
              <w:kinsoku/>
              <w:autoSpaceDE/>
              <w:autoSpaceDN/>
              <w:adjustRightInd/>
              <w:snapToGrid/>
              <w:spacing w:line="300" w:lineRule="auto"/>
              <w:textAlignment w:val="auto"/>
              <w:rPr>
                <w:rFonts w:ascii="宋体" w:hAnsi="宋体" w:eastAsia="宋体" w:cs="宋体"/>
                <w:snapToGrid/>
                <w:color w:val="FF0000"/>
                <w:kern w:val="2"/>
                <w:sz w:val="24"/>
                <w:szCs w:val="24"/>
                <w:lang w:eastAsia="zh-CN"/>
              </w:rPr>
            </w:pPr>
            <w:r>
              <w:rPr>
                <w:rFonts w:hint="eastAsia" w:ascii="宋体" w:hAnsi="宋体" w:eastAsia="宋体" w:cs="宋体"/>
                <w:snapToGrid/>
                <w:color w:val="FF0000"/>
                <w:kern w:val="2"/>
                <w:sz w:val="24"/>
                <w:szCs w:val="24"/>
                <w:lang w:eastAsia="zh-CN"/>
              </w:rPr>
              <w:t>磋商小组依据各供应商磋商响应文件中工程进度计划与措施进行评分。</w:t>
            </w:r>
          </w:p>
          <w:p w14:paraId="7D9296CB">
            <w:pPr>
              <w:widowControl w:val="0"/>
              <w:kinsoku/>
              <w:autoSpaceDE/>
              <w:autoSpaceDN/>
              <w:adjustRightInd/>
              <w:snapToGrid/>
              <w:spacing w:line="300" w:lineRule="auto"/>
              <w:textAlignment w:val="auto"/>
              <w:rPr>
                <w:rFonts w:ascii="宋体" w:hAnsi="宋体" w:eastAsia="宋体" w:cs="宋体"/>
                <w:snapToGrid/>
                <w:color w:val="FF0000"/>
                <w:kern w:val="2"/>
                <w:sz w:val="24"/>
                <w:szCs w:val="24"/>
                <w:lang w:eastAsia="zh-CN"/>
              </w:rPr>
            </w:pPr>
            <w:r>
              <w:rPr>
                <w:rFonts w:hint="eastAsia" w:ascii="宋体" w:hAnsi="宋体" w:eastAsia="宋体" w:cs="宋体"/>
                <w:snapToGrid/>
                <w:color w:val="FF0000"/>
                <w:kern w:val="2"/>
                <w:sz w:val="24"/>
                <w:szCs w:val="24"/>
                <w:lang w:eastAsia="zh-CN"/>
              </w:rPr>
              <w:t>1.工期承诺满足且优于磋商文件要求，工期保证措施合理且有针对性强，有具体的违约责任承诺。（</w:t>
            </w:r>
            <w:r>
              <w:rPr>
                <w:rFonts w:hint="eastAsia" w:ascii="宋体" w:hAnsi="宋体" w:eastAsia="宋体" w:cs="宋体"/>
                <w:snapToGrid/>
                <w:color w:val="FF0000"/>
                <w:kern w:val="2"/>
                <w:sz w:val="24"/>
                <w:szCs w:val="24"/>
                <w:lang w:val="en-US" w:eastAsia="zh-CN"/>
              </w:rPr>
              <w:t>5-6</w:t>
            </w:r>
            <w:r>
              <w:rPr>
                <w:rFonts w:hint="eastAsia" w:ascii="宋体" w:hAnsi="宋体" w:eastAsia="宋体" w:cs="宋体"/>
                <w:snapToGrid/>
                <w:color w:val="FF0000"/>
                <w:kern w:val="2"/>
                <w:sz w:val="24"/>
                <w:szCs w:val="24"/>
                <w:lang w:eastAsia="zh-CN"/>
              </w:rPr>
              <w:t>分）</w:t>
            </w:r>
          </w:p>
          <w:p w14:paraId="21451A05">
            <w:pPr>
              <w:widowControl w:val="0"/>
              <w:kinsoku/>
              <w:autoSpaceDE/>
              <w:autoSpaceDN/>
              <w:adjustRightInd/>
              <w:snapToGrid/>
              <w:spacing w:line="300" w:lineRule="auto"/>
              <w:jc w:val="both"/>
              <w:textAlignment w:val="auto"/>
              <w:rPr>
                <w:rFonts w:ascii="宋体" w:hAnsi="宋体" w:eastAsia="宋体" w:cs="宋体"/>
                <w:snapToGrid/>
                <w:color w:val="FF0000"/>
                <w:kern w:val="2"/>
                <w:sz w:val="24"/>
                <w:szCs w:val="24"/>
                <w:lang w:eastAsia="zh-CN"/>
              </w:rPr>
            </w:pPr>
            <w:r>
              <w:rPr>
                <w:rFonts w:hint="eastAsia" w:ascii="宋体" w:hAnsi="宋体" w:eastAsia="宋体" w:cs="宋体"/>
                <w:snapToGrid/>
                <w:color w:val="FF0000"/>
                <w:kern w:val="2"/>
                <w:sz w:val="24"/>
                <w:szCs w:val="24"/>
                <w:lang w:eastAsia="zh-CN"/>
              </w:rPr>
              <w:t>2.工期承诺满足磋商文件要求，工期保证措施合理，有具体的违约责任承诺。（</w:t>
            </w:r>
            <w:r>
              <w:rPr>
                <w:rFonts w:hint="eastAsia" w:ascii="宋体" w:hAnsi="宋体" w:eastAsia="宋体" w:cs="宋体"/>
                <w:snapToGrid/>
                <w:color w:val="FF0000"/>
                <w:kern w:val="2"/>
                <w:sz w:val="24"/>
                <w:szCs w:val="24"/>
                <w:lang w:val="en-US" w:eastAsia="zh-CN"/>
              </w:rPr>
              <w:t>3-4</w:t>
            </w:r>
            <w:r>
              <w:rPr>
                <w:rFonts w:hint="eastAsia" w:ascii="宋体" w:hAnsi="宋体" w:eastAsia="宋体" w:cs="宋体"/>
                <w:snapToGrid/>
                <w:color w:val="FF0000"/>
                <w:kern w:val="2"/>
                <w:sz w:val="24"/>
                <w:szCs w:val="24"/>
                <w:lang w:eastAsia="zh-CN"/>
              </w:rPr>
              <w:t>分）</w:t>
            </w:r>
          </w:p>
          <w:p w14:paraId="2C6BAC22">
            <w:pPr>
              <w:spacing w:line="300" w:lineRule="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rPr>
              <w:t>3.工期承诺基本满足磋商文件要求，工期保证措施基本合理，有具体的违约责任承诺。</w:t>
            </w:r>
            <w:r>
              <w:rPr>
                <w:rFonts w:hint="eastAsia" w:ascii="宋体" w:hAnsi="宋体" w:eastAsia="宋体" w:cs="宋体"/>
                <w:color w:val="FF0000"/>
                <w:sz w:val="24"/>
                <w:szCs w:val="24"/>
              </w:rPr>
              <w:t>（</w:t>
            </w:r>
            <w:r>
              <w:rPr>
                <w:rFonts w:hint="eastAsia" w:ascii="宋体" w:hAnsi="宋体" w:eastAsia="宋体" w:cs="宋体"/>
                <w:color w:val="FF0000"/>
                <w:sz w:val="24"/>
                <w:szCs w:val="24"/>
                <w:lang w:val="en-US" w:eastAsia="zh-CN"/>
              </w:rPr>
              <w:t>1-2</w:t>
            </w:r>
            <w:r>
              <w:rPr>
                <w:rFonts w:hint="eastAsia" w:ascii="宋体" w:hAnsi="宋体" w:eastAsia="宋体" w:cs="宋体"/>
                <w:color w:val="FF0000"/>
                <w:sz w:val="24"/>
                <w:szCs w:val="24"/>
              </w:rPr>
              <w:t>分）</w:t>
            </w:r>
          </w:p>
          <w:p w14:paraId="1FA1497F">
            <w:pPr>
              <w:pStyle w:val="2"/>
              <w:rPr>
                <w:color w:val="FF0000"/>
                <w:lang w:eastAsia="zh-CN"/>
              </w:rPr>
            </w:pPr>
            <w:r>
              <w:rPr>
                <w:rFonts w:hint="eastAsia"/>
                <w:color w:val="FF0000"/>
                <w:sz w:val="24"/>
                <w:highlight w:val="none"/>
                <w:lang w:eastAsia="zh-CN"/>
              </w:rPr>
              <w:t>4.未提供</w:t>
            </w:r>
            <w:r>
              <w:rPr>
                <w:rFonts w:hint="eastAsia"/>
                <w:color w:val="FF0000"/>
                <w:sz w:val="24"/>
                <w:highlight w:val="none"/>
                <w:lang w:val="en-US" w:eastAsia="zh-CN"/>
              </w:rPr>
              <w:t>的，该项不得分</w:t>
            </w:r>
            <w:r>
              <w:rPr>
                <w:rFonts w:hint="eastAsia"/>
                <w:color w:val="FF0000"/>
                <w:sz w:val="24"/>
                <w:highlight w:val="none"/>
                <w:lang w:eastAsia="zh-CN"/>
              </w:rPr>
              <w:t>。</w:t>
            </w:r>
          </w:p>
        </w:tc>
      </w:tr>
      <w:tr w14:paraId="66F8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66012F7">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7CEFE909">
            <w:pPr>
              <w:spacing w:line="300" w:lineRule="auto"/>
              <w:jc w:val="center"/>
              <w:rPr>
                <w:rFonts w:asciiTheme="minorEastAsia" w:hAnsiTheme="minorEastAsia"/>
                <w:color w:val="FF0000"/>
                <w:sz w:val="24"/>
                <w:szCs w:val="24"/>
                <w:lang w:eastAsia="zh-CN"/>
              </w:rPr>
            </w:pPr>
          </w:p>
        </w:tc>
        <w:tc>
          <w:tcPr>
            <w:tcW w:w="1923" w:type="dxa"/>
            <w:vAlign w:val="center"/>
          </w:tcPr>
          <w:p w14:paraId="3FEA1F28">
            <w:pPr>
              <w:spacing w:line="300" w:lineRule="auto"/>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资源配备计划</w:t>
            </w:r>
          </w:p>
          <w:p w14:paraId="66A8C697">
            <w:pPr>
              <w:spacing w:line="300" w:lineRule="auto"/>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(人员设备)</w:t>
            </w:r>
          </w:p>
          <w:p w14:paraId="7CC3E020">
            <w:pPr>
              <w:spacing w:line="300" w:lineRule="auto"/>
              <w:jc w:val="center"/>
              <w:rPr>
                <w:rFonts w:ascii="宋体" w:hAnsi="宋体" w:eastAsia="宋体" w:cs="宋体"/>
                <w:bCs/>
                <w:color w:val="FF0000"/>
                <w:kern w:val="2"/>
                <w:sz w:val="24"/>
                <w:szCs w:val="24"/>
                <w:lang w:eastAsia="zh-CN"/>
              </w:rPr>
            </w:pP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6</w:t>
            </w:r>
            <w:r>
              <w:rPr>
                <w:rFonts w:hint="eastAsia" w:ascii="宋体" w:hAnsi="宋体" w:eastAsia="宋体" w:cs="宋体"/>
                <w:color w:val="FF0000"/>
                <w:sz w:val="24"/>
                <w:szCs w:val="24"/>
                <w:lang w:eastAsia="zh-CN"/>
              </w:rPr>
              <w:t>分）</w:t>
            </w:r>
          </w:p>
        </w:tc>
        <w:tc>
          <w:tcPr>
            <w:tcW w:w="5031" w:type="dxa"/>
            <w:vAlign w:val="center"/>
          </w:tcPr>
          <w:p w14:paraId="56DECD99">
            <w:pPr>
              <w:spacing w:line="300" w:lineRule="auto"/>
              <w:rPr>
                <w:rFonts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t>磋商小组依据各供应商磋商响应文件中资源配备计划进行评分。</w:t>
            </w:r>
          </w:p>
          <w:p w14:paraId="47422A7C">
            <w:pPr>
              <w:spacing w:line="300" w:lineRule="auto"/>
              <w:rPr>
                <w:rFonts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t>1.机械：投入计划与进度计划呼应，采用先进机械设备且配置合理、先进，完全满足安全技术规范和施工进度需要；劳动力：投入计划与进度计划呼应，完全满足施工需要，调配投入计划合理、准确；主要物资计划：主要物资投入计划与进度计划呼应，完全满足施工需要，调配投入计划合理、准确。（</w:t>
            </w:r>
            <w:r>
              <w:rPr>
                <w:rFonts w:hint="eastAsia" w:ascii="宋体" w:hAnsi="宋体" w:eastAsia="宋体" w:cs="宋体"/>
                <w:color w:val="FF0000"/>
                <w:sz w:val="24"/>
                <w:szCs w:val="24"/>
                <w:highlight w:val="none"/>
                <w:lang w:val="en-US" w:eastAsia="zh-CN"/>
              </w:rPr>
              <w:t>5-6</w:t>
            </w:r>
            <w:r>
              <w:rPr>
                <w:rFonts w:hint="eastAsia" w:ascii="宋体" w:hAnsi="宋体" w:eastAsia="宋体" w:cs="宋体"/>
                <w:color w:val="FF0000"/>
                <w:sz w:val="24"/>
                <w:szCs w:val="24"/>
                <w:highlight w:val="none"/>
                <w:lang w:eastAsia="zh-CN"/>
              </w:rPr>
              <w:t>分）</w:t>
            </w:r>
          </w:p>
          <w:p w14:paraId="4E7EC51B">
            <w:pPr>
              <w:spacing w:line="300" w:lineRule="auto"/>
              <w:rPr>
                <w:rFonts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t>2.机械：投入计划与进度计划呼应，机械设备配置基本合理，满足安全技术规范和施工进度需要；劳动力：投入计划与进度计划呼应，基本满足施工需要，调配投入计划基本合理；主要物资计划：主要物资投入计划与进度计划呼应，基本满足施工需要，调配投入计划基本合理。（</w:t>
            </w:r>
            <w:r>
              <w:rPr>
                <w:rFonts w:hint="eastAsia" w:ascii="宋体" w:hAnsi="宋体" w:eastAsia="宋体" w:cs="宋体"/>
                <w:color w:val="FF0000"/>
                <w:sz w:val="24"/>
                <w:szCs w:val="24"/>
                <w:highlight w:val="none"/>
                <w:lang w:val="en-US" w:eastAsia="zh-CN"/>
              </w:rPr>
              <w:t>3-4</w:t>
            </w:r>
            <w:r>
              <w:rPr>
                <w:rFonts w:hint="eastAsia" w:ascii="宋体" w:hAnsi="宋体" w:eastAsia="宋体" w:cs="宋体"/>
                <w:color w:val="FF0000"/>
                <w:sz w:val="24"/>
                <w:szCs w:val="24"/>
                <w:highlight w:val="none"/>
                <w:lang w:eastAsia="zh-CN"/>
              </w:rPr>
              <w:t>分）</w:t>
            </w:r>
          </w:p>
          <w:p w14:paraId="7D0BC149">
            <w:pPr>
              <w:spacing w:line="300" w:lineRule="auto"/>
              <w:rPr>
                <w:rFonts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t>3.机械：投入计划与进度计划呼应度一般，机械设备配置合理性一般，满足安全技术规范和施工进度需要；劳动力：投入计划与进度计划呼应，施工需要，调配投入计划合理性一般；主要物资计划：主要物资投入计划与进度计划呼应，施工需要，调配投入计划合理性一般。（1</w:t>
            </w:r>
            <w:r>
              <w:rPr>
                <w:rFonts w:hint="eastAsia" w:ascii="宋体" w:hAnsi="宋体" w:eastAsia="宋体" w:cs="宋体"/>
                <w:color w:val="FF0000"/>
                <w:sz w:val="24"/>
                <w:szCs w:val="24"/>
                <w:highlight w:val="none"/>
                <w:lang w:val="en-US" w:eastAsia="zh-CN"/>
              </w:rPr>
              <w:t>-2</w:t>
            </w:r>
            <w:r>
              <w:rPr>
                <w:rFonts w:hint="eastAsia" w:ascii="宋体" w:hAnsi="宋体" w:eastAsia="宋体" w:cs="宋体"/>
                <w:color w:val="FF0000"/>
                <w:sz w:val="24"/>
                <w:szCs w:val="24"/>
                <w:highlight w:val="none"/>
                <w:lang w:eastAsia="zh-CN"/>
              </w:rPr>
              <w:t>分）</w:t>
            </w:r>
          </w:p>
          <w:p w14:paraId="1BDF21B7">
            <w:pPr>
              <w:spacing w:line="300" w:lineRule="auto"/>
              <w:rPr>
                <w:rFonts w:ascii="宋体" w:hAnsi="宋体" w:eastAsia="宋体" w:cs="宋体"/>
                <w:color w:val="FF0000"/>
                <w:sz w:val="24"/>
                <w:szCs w:val="24"/>
                <w:lang w:eastAsia="zh-CN"/>
              </w:rPr>
            </w:pPr>
            <w:r>
              <w:rPr>
                <w:rFonts w:hint="eastAsia"/>
                <w:color w:val="FF0000"/>
                <w:sz w:val="24"/>
                <w:highlight w:val="none"/>
                <w:lang w:eastAsia="zh-CN"/>
              </w:rPr>
              <w:t>4.未提供</w:t>
            </w:r>
            <w:r>
              <w:rPr>
                <w:rFonts w:hint="eastAsia"/>
                <w:color w:val="FF0000"/>
                <w:sz w:val="24"/>
                <w:highlight w:val="none"/>
                <w:lang w:val="en-US" w:eastAsia="zh-CN"/>
              </w:rPr>
              <w:t>的，该项不得分</w:t>
            </w:r>
            <w:r>
              <w:rPr>
                <w:rFonts w:hint="eastAsia"/>
                <w:color w:val="FF0000"/>
                <w:sz w:val="24"/>
                <w:highlight w:val="none"/>
                <w:lang w:eastAsia="zh-CN"/>
              </w:rPr>
              <w:t>。</w:t>
            </w:r>
          </w:p>
        </w:tc>
      </w:tr>
      <w:tr w14:paraId="460B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AFB1662">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411047F7">
            <w:pPr>
              <w:spacing w:line="300" w:lineRule="auto"/>
              <w:jc w:val="center"/>
              <w:rPr>
                <w:rFonts w:asciiTheme="minorEastAsia" w:hAnsiTheme="minorEastAsia"/>
                <w:color w:val="FF0000"/>
                <w:sz w:val="24"/>
                <w:szCs w:val="24"/>
                <w:lang w:eastAsia="zh-CN"/>
              </w:rPr>
            </w:pPr>
          </w:p>
        </w:tc>
        <w:tc>
          <w:tcPr>
            <w:tcW w:w="1923" w:type="dxa"/>
            <w:vAlign w:val="center"/>
          </w:tcPr>
          <w:p w14:paraId="298B0F73">
            <w:pPr>
              <w:spacing w:before="69" w:line="300" w:lineRule="auto"/>
              <w:ind w:left="202"/>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风险管理措施(</w:t>
            </w:r>
            <w:r>
              <w:rPr>
                <w:rFonts w:hint="eastAsia" w:asciiTheme="minorEastAsia" w:hAnsiTheme="minorEastAsia"/>
                <w:color w:val="FF0000"/>
                <w:sz w:val="24"/>
                <w:szCs w:val="24"/>
                <w:lang w:val="en-US" w:eastAsia="zh-CN"/>
              </w:rPr>
              <w:t>6</w:t>
            </w:r>
            <w:r>
              <w:rPr>
                <w:rFonts w:hint="eastAsia" w:asciiTheme="minorEastAsia" w:hAnsiTheme="minorEastAsia"/>
                <w:color w:val="FF0000"/>
                <w:sz w:val="24"/>
                <w:szCs w:val="24"/>
                <w:lang w:eastAsia="zh-CN"/>
              </w:rPr>
              <w:t>分)</w:t>
            </w:r>
            <w:r>
              <w:rPr>
                <w:rFonts w:asciiTheme="minorEastAsia" w:hAnsiTheme="minorEastAsia"/>
                <w:color w:val="FF0000"/>
                <w:sz w:val="24"/>
                <w:szCs w:val="24"/>
                <w:lang w:eastAsia="zh-CN"/>
              </w:rPr>
              <w:t xml:space="preserve"> </w:t>
            </w:r>
          </w:p>
        </w:tc>
        <w:tc>
          <w:tcPr>
            <w:tcW w:w="5031" w:type="dxa"/>
          </w:tcPr>
          <w:p w14:paraId="52103EBF">
            <w:pPr>
              <w:spacing w:line="300" w:lineRule="auto"/>
              <w:rPr>
                <w:rFonts w:ascii="宋体" w:hAnsi="宋体" w:eastAsia="宋体" w:cs="宋体"/>
                <w:color w:val="FF0000"/>
                <w:sz w:val="24"/>
                <w:szCs w:val="24"/>
                <w:lang w:eastAsia="zh-CN"/>
              </w:rPr>
            </w:pPr>
            <w:r>
              <w:rPr>
                <w:rFonts w:hint="eastAsia" w:ascii="宋体" w:hAnsi="宋体" w:eastAsia="宋体" w:cs="宋体"/>
                <w:color w:val="FF0000"/>
                <w:sz w:val="24"/>
                <w:szCs w:val="24"/>
                <w:lang w:eastAsia="zh-CN"/>
              </w:rPr>
              <w:t>磋商小组依据各供应商磋商响应文件中</w:t>
            </w:r>
            <w:r>
              <w:rPr>
                <w:rFonts w:hint="eastAsia" w:asciiTheme="minorEastAsia" w:hAnsiTheme="minorEastAsia"/>
                <w:color w:val="FF0000"/>
                <w:sz w:val="24"/>
                <w:szCs w:val="24"/>
                <w:lang w:eastAsia="zh-CN"/>
              </w:rPr>
              <w:t>风险管理措施</w:t>
            </w:r>
            <w:r>
              <w:rPr>
                <w:rFonts w:hint="eastAsia" w:ascii="宋体" w:hAnsi="宋体" w:eastAsia="宋体" w:cs="宋体"/>
                <w:color w:val="FF0000"/>
                <w:sz w:val="24"/>
                <w:szCs w:val="24"/>
                <w:lang w:eastAsia="zh-CN"/>
              </w:rPr>
              <w:t>进行评分。</w:t>
            </w:r>
          </w:p>
          <w:p w14:paraId="49ECBF26">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1.风险防控管理措施齐全</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风险预控符合规范要求</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风险控制要点定位准确</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各阶段风险控制及应急措施得力。（</w:t>
            </w:r>
            <w:r>
              <w:rPr>
                <w:rFonts w:hint="eastAsia" w:asciiTheme="minorEastAsia" w:hAnsiTheme="minorEastAsia"/>
                <w:color w:val="FF0000"/>
                <w:sz w:val="24"/>
                <w:szCs w:val="24"/>
                <w:lang w:val="en-US" w:eastAsia="zh-CN"/>
              </w:rPr>
              <w:t>5-6</w:t>
            </w:r>
            <w:r>
              <w:rPr>
                <w:rFonts w:hint="eastAsia" w:asciiTheme="minorEastAsia" w:hAnsiTheme="minorEastAsia"/>
                <w:color w:val="FF0000"/>
                <w:sz w:val="24"/>
                <w:szCs w:val="24"/>
                <w:lang w:eastAsia="zh-CN"/>
              </w:rPr>
              <w:t>分）</w:t>
            </w:r>
          </w:p>
          <w:p w14:paraId="4386DB37">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2.风险防控管理措施基本齐全</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风险预控基本符合规范要求</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风险控制要点定位基本准确</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各阶段风险控制及应急措施基本得力。</w:t>
            </w:r>
            <w:r>
              <w:rPr>
                <w:rFonts w:hint="eastAsia" w:ascii="宋体" w:hAnsi="宋体" w:eastAsia="宋体" w:cs="宋体"/>
                <w:snapToGrid/>
                <w:color w:val="FF0000"/>
                <w:kern w:val="2"/>
                <w:sz w:val="24"/>
                <w:szCs w:val="24"/>
                <w:lang w:eastAsia="zh-CN"/>
              </w:rPr>
              <w:t>（</w:t>
            </w:r>
            <w:r>
              <w:rPr>
                <w:rFonts w:hint="eastAsia" w:ascii="宋体" w:hAnsi="宋体" w:eastAsia="宋体" w:cs="宋体"/>
                <w:snapToGrid/>
                <w:color w:val="FF0000"/>
                <w:kern w:val="2"/>
                <w:sz w:val="24"/>
                <w:szCs w:val="24"/>
                <w:lang w:val="en-US" w:eastAsia="zh-CN"/>
              </w:rPr>
              <w:t>3-4</w:t>
            </w:r>
            <w:r>
              <w:rPr>
                <w:rFonts w:hint="eastAsia" w:ascii="宋体" w:hAnsi="宋体" w:eastAsia="宋体" w:cs="宋体"/>
                <w:snapToGrid/>
                <w:color w:val="FF0000"/>
                <w:kern w:val="2"/>
                <w:sz w:val="24"/>
                <w:szCs w:val="24"/>
                <w:lang w:eastAsia="zh-CN"/>
              </w:rPr>
              <w:t>分）</w:t>
            </w:r>
          </w:p>
          <w:p w14:paraId="23FA30B8">
            <w:pPr>
              <w:spacing w:line="300" w:lineRule="auto"/>
              <w:rPr>
                <w:rFonts w:hint="eastAsia" w:ascii="宋体" w:hAnsi="宋体" w:eastAsia="宋体" w:cs="宋体"/>
                <w:color w:val="FF0000"/>
                <w:sz w:val="24"/>
                <w:szCs w:val="24"/>
              </w:rPr>
            </w:pPr>
            <w:r>
              <w:rPr>
                <w:rFonts w:hint="eastAsia" w:asciiTheme="minorEastAsia" w:hAnsiTheme="minorEastAsia"/>
                <w:color w:val="FF0000"/>
                <w:sz w:val="24"/>
                <w:szCs w:val="24"/>
                <w:lang w:eastAsia="zh-CN"/>
              </w:rPr>
              <w:t>3.风险防控管理措施不齐全</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风险预控基本符合规范要求</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风险控制要点定位基本准确</w:t>
            </w:r>
            <w:r>
              <w:rPr>
                <w:rFonts w:asciiTheme="minorEastAsia" w:hAnsiTheme="minorEastAsia"/>
                <w:color w:val="FF0000"/>
                <w:sz w:val="24"/>
                <w:szCs w:val="24"/>
                <w:lang w:eastAsia="zh-CN"/>
              </w:rPr>
              <w:t>,</w:t>
            </w:r>
            <w:r>
              <w:rPr>
                <w:rFonts w:hint="eastAsia" w:asciiTheme="minorEastAsia" w:hAnsiTheme="minorEastAsia"/>
                <w:color w:val="FF0000"/>
                <w:sz w:val="24"/>
                <w:szCs w:val="24"/>
                <w:lang w:eastAsia="zh-CN"/>
              </w:rPr>
              <w:t>各阶段风险控制及应急措施存在漏洞。</w:t>
            </w:r>
            <w:r>
              <w:rPr>
                <w:rFonts w:hint="eastAsia" w:ascii="宋体" w:hAnsi="宋体" w:eastAsia="宋体" w:cs="宋体"/>
                <w:color w:val="FF0000"/>
                <w:sz w:val="24"/>
                <w:szCs w:val="24"/>
              </w:rPr>
              <w:t>（1</w:t>
            </w:r>
            <w:r>
              <w:rPr>
                <w:rFonts w:hint="eastAsia" w:ascii="宋体" w:hAnsi="宋体" w:eastAsia="宋体" w:cs="宋体"/>
                <w:color w:val="FF0000"/>
                <w:sz w:val="24"/>
                <w:szCs w:val="24"/>
                <w:lang w:val="en-US" w:eastAsia="zh-CN"/>
              </w:rPr>
              <w:t>-2</w:t>
            </w:r>
            <w:r>
              <w:rPr>
                <w:rFonts w:hint="eastAsia" w:ascii="宋体" w:hAnsi="宋体" w:eastAsia="宋体" w:cs="宋体"/>
                <w:color w:val="FF0000"/>
                <w:sz w:val="24"/>
                <w:szCs w:val="24"/>
              </w:rPr>
              <w:t>分）</w:t>
            </w:r>
          </w:p>
          <w:p w14:paraId="63C6D4ED">
            <w:pPr>
              <w:pStyle w:val="2"/>
              <w:rPr>
                <w:color w:val="FF0000"/>
                <w:lang w:eastAsia="zh-CN"/>
              </w:rPr>
            </w:pPr>
            <w:r>
              <w:rPr>
                <w:rFonts w:hint="eastAsia"/>
                <w:color w:val="FF0000"/>
                <w:sz w:val="24"/>
                <w:highlight w:val="none"/>
                <w:lang w:eastAsia="zh-CN"/>
              </w:rPr>
              <w:t>4.未提供</w:t>
            </w:r>
            <w:r>
              <w:rPr>
                <w:rFonts w:hint="eastAsia"/>
                <w:color w:val="FF0000"/>
                <w:sz w:val="24"/>
                <w:highlight w:val="none"/>
                <w:lang w:val="en-US" w:eastAsia="zh-CN"/>
              </w:rPr>
              <w:t>的，该项不得分</w:t>
            </w:r>
            <w:r>
              <w:rPr>
                <w:rFonts w:hint="eastAsia"/>
                <w:color w:val="FF0000"/>
                <w:sz w:val="24"/>
                <w:highlight w:val="none"/>
                <w:lang w:eastAsia="zh-CN"/>
              </w:rPr>
              <w:t>。</w:t>
            </w:r>
          </w:p>
        </w:tc>
      </w:tr>
      <w:tr w14:paraId="703A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693E5EC5">
            <w:pPr>
              <w:spacing w:line="300" w:lineRule="auto"/>
              <w:jc w:val="center"/>
              <w:rPr>
                <w:rFonts w:asciiTheme="minorEastAsia" w:hAnsiTheme="minorEastAsia"/>
                <w:color w:val="FF0000"/>
                <w:sz w:val="24"/>
                <w:szCs w:val="24"/>
                <w:lang w:eastAsia="zh-CN"/>
              </w:rPr>
            </w:pPr>
            <w:r>
              <w:rPr>
                <w:rFonts w:asciiTheme="minorEastAsia" w:hAnsiTheme="minorEastAsia"/>
                <w:color w:val="FF0000"/>
                <w:sz w:val="24"/>
                <w:szCs w:val="24"/>
                <w:lang w:eastAsia="zh-CN"/>
              </w:rPr>
              <w:t>2.2.2</w:t>
            </w:r>
            <w:r>
              <w:rPr>
                <w:rFonts w:hint="eastAsia" w:asciiTheme="minorEastAsia" w:hAnsiTheme="minorEastAsia"/>
                <w:color w:val="FF0000"/>
                <w:sz w:val="24"/>
                <w:szCs w:val="24"/>
                <w:lang w:eastAsia="zh-CN"/>
              </w:rPr>
              <w:t>（3）</w:t>
            </w:r>
          </w:p>
        </w:tc>
        <w:tc>
          <w:tcPr>
            <w:tcW w:w="936" w:type="dxa"/>
            <w:vMerge w:val="restart"/>
            <w:vAlign w:val="center"/>
          </w:tcPr>
          <w:p w14:paraId="1166F463">
            <w:pPr>
              <w:spacing w:line="300" w:lineRule="auto"/>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综合实力（</w:t>
            </w:r>
            <w:r>
              <w:rPr>
                <w:rFonts w:hint="eastAsia" w:asciiTheme="minorEastAsia" w:hAnsiTheme="minorEastAsia"/>
                <w:color w:val="FF0000"/>
                <w:sz w:val="24"/>
                <w:szCs w:val="24"/>
                <w:lang w:val="en-US" w:eastAsia="zh-CN"/>
              </w:rPr>
              <w:t>40</w:t>
            </w:r>
            <w:r>
              <w:rPr>
                <w:rFonts w:hint="eastAsia" w:asciiTheme="minorEastAsia" w:hAnsiTheme="minorEastAsia"/>
                <w:color w:val="FF0000"/>
                <w:sz w:val="24"/>
                <w:szCs w:val="24"/>
                <w:lang w:eastAsia="zh-CN"/>
              </w:rPr>
              <w:t>分）</w:t>
            </w:r>
          </w:p>
        </w:tc>
        <w:tc>
          <w:tcPr>
            <w:tcW w:w="1923" w:type="dxa"/>
            <w:vAlign w:val="center"/>
          </w:tcPr>
          <w:p w14:paraId="3AAA210F">
            <w:pPr>
              <w:spacing w:before="50" w:line="300" w:lineRule="auto"/>
              <w:ind w:right="96"/>
              <w:jc w:val="center"/>
              <w:rPr>
                <w:rFonts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lang w:eastAsia="zh-CN"/>
              </w:rPr>
              <w:t>类似业绩</w:t>
            </w:r>
          </w:p>
          <w:p w14:paraId="185EDF16">
            <w:pPr>
              <w:spacing w:before="50" w:line="300" w:lineRule="auto"/>
              <w:ind w:left="137" w:right="96"/>
              <w:jc w:val="center"/>
              <w:rPr>
                <w:rFonts w:ascii="宋体" w:hAnsi="宋体" w:eastAsia="宋体" w:cs="宋体"/>
                <w:bCs/>
                <w:color w:val="FF0000"/>
                <w:kern w:val="2"/>
                <w:sz w:val="24"/>
                <w:szCs w:val="24"/>
              </w:rPr>
            </w:pPr>
            <w:r>
              <w:rPr>
                <w:rFonts w:hint="eastAsia" w:ascii="宋体" w:hAnsi="宋体" w:eastAsia="宋体" w:cs="宋体"/>
                <w:color w:val="FF0000"/>
                <w:sz w:val="24"/>
                <w:szCs w:val="24"/>
                <w:highlight w:val="none"/>
                <w:lang w:eastAsia="zh-CN"/>
              </w:rPr>
              <w:t>（</w:t>
            </w:r>
            <w:r>
              <w:rPr>
                <w:rFonts w:hint="eastAsia" w:ascii="宋体" w:hAnsi="宋体" w:eastAsia="宋体" w:cs="宋体"/>
                <w:color w:val="FF0000"/>
                <w:sz w:val="24"/>
                <w:szCs w:val="24"/>
                <w:highlight w:val="none"/>
                <w:lang w:val="en-US" w:eastAsia="zh-CN"/>
              </w:rPr>
              <w:t>6</w:t>
            </w:r>
            <w:r>
              <w:rPr>
                <w:rFonts w:hint="eastAsia" w:ascii="宋体" w:hAnsi="宋体" w:eastAsia="宋体" w:cs="宋体"/>
                <w:color w:val="FF0000"/>
                <w:sz w:val="24"/>
                <w:szCs w:val="24"/>
                <w:highlight w:val="none"/>
                <w:lang w:eastAsia="zh-CN"/>
              </w:rPr>
              <w:t>分）</w:t>
            </w:r>
          </w:p>
        </w:tc>
        <w:tc>
          <w:tcPr>
            <w:tcW w:w="5031" w:type="dxa"/>
            <w:vAlign w:val="center"/>
          </w:tcPr>
          <w:p w14:paraId="7699C819">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供应商提供202</w:t>
            </w:r>
            <w:r>
              <w:rPr>
                <w:rFonts w:hint="eastAsia" w:asciiTheme="minorEastAsia" w:hAnsiTheme="minorEastAsia"/>
                <w:color w:val="FF0000"/>
                <w:sz w:val="24"/>
                <w:szCs w:val="24"/>
                <w:lang w:val="en-US" w:eastAsia="zh-CN"/>
              </w:rPr>
              <w:t>2</w:t>
            </w:r>
            <w:r>
              <w:rPr>
                <w:rFonts w:hint="eastAsia" w:asciiTheme="minorEastAsia" w:hAnsiTheme="minorEastAsia"/>
                <w:color w:val="FF0000"/>
                <w:sz w:val="24"/>
                <w:szCs w:val="24"/>
                <w:lang w:eastAsia="zh-CN"/>
              </w:rPr>
              <w:t>年1月1日以来自身履行的类似项目业绩证明资料(以施工合同签订时间为准)，每提供一份业绩证明资料得2分，累计最多得</w:t>
            </w:r>
            <w:r>
              <w:rPr>
                <w:rFonts w:hint="eastAsia" w:asciiTheme="minorEastAsia" w:hAnsiTheme="minorEastAsia"/>
                <w:color w:val="FF0000"/>
                <w:sz w:val="24"/>
                <w:szCs w:val="24"/>
                <w:lang w:val="en-US" w:eastAsia="zh-CN"/>
              </w:rPr>
              <w:t>6</w:t>
            </w:r>
            <w:r>
              <w:rPr>
                <w:rFonts w:hint="eastAsia" w:asciiTheme="minorEastAsia" w:hAnsiTheme="minorEastAsia"/>
                <w:color w:val="FF0000"/>
                <w:sz w:val="24"/>
                <w:szCs w:val="24"/>
                <w:lang w:eastAsia="zh-CN"/>
              </w:rPr>
              <w:t>分。（业绩证明资料包括合同、中标/</w:t>
            </w:r>
          </w:p>
          <w:p w14:paraId="6FE3E47D">
            <w:pPr>
              <w:spacing w:line="300" w:lineRule="auto"/>
              <w:rPr>
                <w:rFonts w:ascii="宋体" w:hAnsi="宋体" w:eastAsia="宋体" w:cs="宋体"/>
                <w:color w:val="FF0000"/>
                <w:spacing w:val="1"/>
                <w:sz w:val="24"/>
                <w:szCs w:val="24"/>
                <w:lang w:eastAsia="zh-CN"/>
              </w:rPr>
            </w:pPr>
            <w:r>
              <w:rPr>
                <w:rFonts w:hint="eastAsia" w:asciiTheme="minorEastAsia" w:hAnsiTheme="minorEastAsia"/>
                <w:color w:val="FF0000"/>
                <w:sz w:val="24"/>
                <w:szCs w:val="24"/>
                <w:lang w:eastAsia="zh-CN"/>
              </w:rPr>
              <w:t>成交通知书，缺项不得分）。</w:t>
            </w:r>
          </w:p>
        </w:tc>
      </w:tr>
      <w:tr w14:paraId="3A7B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725E889">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4F666462">
            <w:pPr>
              <w:spacing w:line="300" w:lineRule="auto"/>
              <w:jc w:val="center"/>
              <w:rPr>
                <w:rFonts w:hint="eastAsia" w:asciiTheme="minorEastAsia" w:hAnsiTheme="minorEastAsia"/>
                <w:color w:val="FF0000"/>
                <w:sz w:val="24"/>
                <w:szCs w:val="24"/>
                <w:lang w:eastAsia="zh-CN"/>
              </w:rPr>
            </w:pPr>
          </w:p>
        </w:tc>
        <w:tc>
          <w:tcPr>
            <w:tcW w:w="1923" w:type="dxa"/>
            <w:vAlign w:val="center"/>
          </w:tcPr>
          <w:p w14:paraId="7CA1BA98">
            <w:pPr>
              <w:pStyle w:val="12"/>
              <w:keepNext w:val="0"/>
              <w:keepLines w:val="0"/>
              <w:suppressLineNumbers w:val="0"/>
              <w:spacing w:beforeAutospacing="0" w:afterAutospacing="0" w:line="360" w:lineRule="auto"/>
              <w:jc w:val="center"/>
              <w:rPr>
                <w:rStyle w:val="38"/>
                <w:rFonts w:hint="eastAsia" w:ascii="宋体" w:hAnsi="宋体" w:eastAsia="宋体" w:cs="宋体"/>
                <w:color w:val="FF0000"/>
                <w:sz w:val="24"/>
                <w:szCs w:val="24"/>
              </w:rPr>
            </w:pPr>
            <w:r>
              <w:rPr>
                <w:rStyle w:val="38"/>
                <w:rFonts w:hint="eastAsia" w:ascii="宋体" w:hAnsi="宋体" w:eastAsia="宋体" w:cs="宋体"/>
                <w:color w:val="FF0000"/>
                <w:sz w:val="24"/>
                <w:szCs w:val="24"/>
              </w:rPr>
              <w:t>项目管理机构</w:t>
            </w:r>
          </w:p>
          <w:p w14:paraId="0DF13BF2">
            <w:pPr>
              <w:pStyle w:val="12"/>
              <w:keepNext w:val="0"/>
              <w:keepLines w:val="0"/>
              <w:suppressLineNumbers w:val="0"/>
              <w:spacing w:beforeAutospacing="0" w:afterAutospacing="0" w:line="360" w:lineRule="auto"/>
              <w:jc w:val="center"/>
              <w:rPr>
                <w:rStyle w:val="38"/>
                <w:rFonts w:hint="eastAsia" w:ascii="宋体" w:hAnsi="宋体" w:eastAsia="宋体" w:cs="宋体"/>
                <w:color w:val="FF0000"/>
                <w:sz w:val="24"/>
                <w:szCs w:val="24"/>
              </w:rPr>
            </w:pPr>
            <w:r>
              <w:rPr>
                <w:rStyle w:val="38"/>
                <w:rFonts w:hint="eastAsia" w:ascii="宋体" w:hAnsi="宋体" w:eastAsia="宋体" w:cs="宋体"/>
                <w:color w:val="FF0000"/>
                <w:sz w:val="24"/>
                <w:szCs w:val="24"/>
              </w:rPr>
              <w:t>人员配备</w:t>
            </w:r>
          </w:p>
          <w:p w14:paraId="796F4CEE">
            <w:pPr>
              <w:pStyle w:val="12"/>
              <w:keepNext w:val="0"/>
              <w:keepLines w:val="0"/>
              <w:suppressLineNumbers w:val="0"/>
              <w:spacing w:beforeAutospacing="0" w:afterAutospacing="0" w:line="360" w:lineRule="auto"/>
              <w:jc w:val="center"/>
              <w:rPr>
                <w:rFonts w:hint="eastAsia" w:ascii="宋体" w:hAnsi="宋体" w:eastAsia="宋体" w:cs="宋体"/>
                <w:color w:val="FF0000"/>
                <w:sz w:val="24"/>
                <w:szCs w:val="24"/>
                <w:lang w:eastAsia="zh-CN"/>
              </w:rPr>
            </w:pPr>
            <w:r>
              <w:rPr>
                <w:rStyle w:val="38"/>
                <w:rFonts w:hint="eastAsia" w:ascii="宋体" w:hAnsi="宋体" w:eastAsia="宋体" w:cs="宋体"/>
                <w:color w:val="FF0000"/>
                <w:sz w:val="24"/>
                <w:szCs w:val="24"/>
              </w:rPr>
              <w:t>（</w:t>
            </w:r>
            <w:r>
              <w:rPr>
                <w:rStyle w:val="38"/>
                <w:rFonts w:hint="eastAsia" w:hAnsi="宋体" w:eastAsia="宋体" w:cs="宋体"/>
                <w:color w:val="FF0000"/>
                <w:sz w:val="24"/>
                <w:szCs w:val="24"/>
                <w:lang w:val="en-US" w:eastAsia="zh-CN"/>
              </w:rPr>
              <w:t>5</w:t>
            </w:r>
            <w:r>
              <w:rPr>
                <w:rStyle w:val="38"/>
                <w:rFonts w:hint="eastAsia" w:ascii="宋体" w:hAnsi="宋体" w:eastAsia="宋体" w:cs="宋体"/>
                <w:color w:val="FF0000"/>
                <w:sz w:val="24"/>
                <w:szCs w:val="24"/>
              </w:rPr>
              <w:t>分）</w:t>
            </w:r>
          </w:p>
        </w:tc>
        <w:tc>
          <w:tcPr>
            <w:tcW w:w="5031" w:type="dxa"/>
            <w:vAlign w:val="center"/>
          </w:tcPr>
          <w:p w14:paraId="5BC8F7DA">
            <w:pPr>
              <w:pStyle w:val="12"/>
              <w:keepNext w:val="0"/>
              <w:keepLines w:val="0"/>
              <w:numPr>
                <w:ilvl w:val="0"/>
                <w:numId w:val="2"/>
              </w:numPr>
              <w:suppressLineNumbers w:val="0"/>
              <w:spacing w:beforeAutospacing="0" w:afterAutospacing="0" w:line="360" w:lineRule="auto"/>
              <w:jc w:val="left"/>
              <w:rPr>
                <w:rFonts w:hint="eastAsia" w:asciiTheme="minorEastAsia" w:hAnsiTheme="minorEastAsia"/>
                <w:color w:val="FF0000"/>
                <w:sz w:val="24"/>
                <w:szCs w:val="24"/>
                <w:lang w:eastAsia="zh-CN"/>
              </w:rPr>
            </w:pPr>
            <w:r>
              <w:rPr>
                <w:rFonts w:hint="eastAsia" w:asciiTheme="minorEastAsia" w:hAnsiTheme="minorEastAsia"/>
                <w:color w:val="FF0000"/>
                <w:sz w:val="24"/>
                <w:szCs w:val="24"/>
                <w:lang w:eastAsia="zh-CN"/>
              </w:rPr>
              <w:t>项目技术负责人具备高级职称的，得</w:t>
            </w:r>
            <w:r>
              <w:rPr>
                <w:rFonts w:hint="eastAsia" w:asciiTheme="minorEastAsia" w:hAnsiTheme="minorEastAsia"/>
                <w:color w:val="FF0000"/>
                <w:sz w:val="24"/>
                <w:szCs w:val="24"/>
                <w:lang w:val="en-US" w:eastAsia="zh-CN"/>
              </w:rPr>
              <w:t>2</w:t>
            </w:r>
            <w:r>
              <w:rPr>
                <w:rFonts w:hint="eastAsia" w:asciiTheme="minorEastAsia" w:hAnsiTheme="minorEastAsia"/>
                <w:color w:val="FF0000"/>
                <w:sz w:val="24"/>
                <w:szCs w:val="24"/>
                <w:lang w:eastAsia="zh-CN"/>
              </w:rPr>
              <w:t>分。</w:t>
            </w:r>
          </w:p>
          <w:p w14:paraId="41B57D5A">
            <w:pPr>
              <w:pStyle w:val="12"/>
              <w:keepNext w:val="0"/>
              <w:keepLines w:val="0"/>
              <w:numPr>
                <w:ilvl w:val="0"/>
                <w:numId w:val="2"/>
              </w:numPr>
              <w:suppressLineNumbers w:val="0"/>
              <w:spacing w:beforeAutospacing="0" w:afterAutospacing="0" w:line="360" w:lineRule="auto"/>
              <w:ind w:left="0" w:leftChars="0" w:firstLine="0" w:firstLineChars="0"/>
              <w:jc w:val="left"/>
              <w:rPr>
                <w:rFonts w:hint="eastAsia" w:asciiTheme="minorEastAsia" w:hAnsiTheme="minorEastAsia"/>
                <w:color w:val="FF0000"/>
                <w:sz w:val="24"/>
                <w:szCs w:val="24"/>
                <w:lang w:eastAsia="zh-CN"/>
              </w:rPr>
            </w:pPr>
            <w:r>
              <w:rPr>
                <w:rFonts w:hint="eastAsia" w:asciiTheme="minorEastAsia" w:hAnsiTheme="minorEastAsia"/>
                <w:color w:val="FF0000"/>
                <w:sz w:val="24"/>
                <w:szCs w:val="24"/>
                <w:lang w:eastAsia="zh-CN"/>
              </w:rPr>
              <w:t>施工员、造价人员、质量员（质检员）、安全员、材料员人员配备合理，以上人员齐全的得3分；否则不得分。</w:t>
            </w:r>
          </w:p>
          <w:p w14:paraId="14BA9F17">
            <w:pPr>
              <w:pStyle w:val="12"/>
              <w:keepNext w:val="0"/>
              <w:keepLines w:val="0"/>
              <w:numPr>
                <w:ilvl w:val="0"/>
                <w:numId w:val="0"/>
              </w:numPr>
              <w:suppressLineNumbers w:val="0"/>
              <w:spacing w:beforeAutospacing="0" w:afterAutospacing="0" w:line="360" w:lineRule="auto"/>
              <w:ind w:leftChars="0"/>
              <w:jc w:val="left"/>
              <w:rPr>
                <w:rFonts w:hint="eastAsia" w:asciiTheme="minorEastAsia" w:hAnsiTheme="minorEastAsia"/>
                <w:color w:val="FF0000"/>
                <w:sz w:val="24"/>
                <w:szCs w:val="24"/>
                <w:lang w:eastAsia="zh-CN"/>
              </w:rPr>
            </w:pPr>
            <w:r>
              <w:rPr>
                <w:rFonts w:hint="eastAsia" w:asciiTheme="minorEastAsia" w:hAnsiTheme="minorEastAsia"/>
                <w:color w:val="FF0000"/>
                <w:sz w:val="24"/>
                <w:szCs w:val="24"/>
                <w:lang w:eastAsia="zh-CN"/>
              </w:rPr>
              <w:t>注：1、技术负责人提供职称证和在本单位近六个月缴纳的社保证明；2、其他人员提供岗位证书及在本单位近六个月缴纳的社保证明。</w:t>
            </w:r>
            <w:r>
              <w:rPr>
                <w:rFonts w:asciiTheme="minorEastAsia" w:hAnsiTheme="minorEastAsia"/>
                <w:color w:val="FF0000"/>
                <w:sz w:val="24"/>
                <w:szCs w:val="24"/>
                <w:lang w:eastAsia="zh-CN"/>
              </w:rPr>
              <w:t xml:space="preserve"> </w:t>
            </w:r>
          </w:p>
        </w:tc>
      </w:tr>
      <w:tr w14:paraId="27A5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511F049">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6FDF4594">
            <w:pPr>
              <w:spacing w:line="300" w:lineRule="auto"/>
              <w:jc w:val="center"/>
              <w:rPr>
                <w:rFonts w:hint="eastAsia" w:asciiTheme="minorEastAsia" w:hAnsiTheme="minorEastAsia"/>
                <w:color w:val="FF0000"/>
                <w:sz w:val="24"/>
                <w:szCs w:val="24"/>
                <w:lang w:eastAsia="zh-CN"/>
              </w:rPr>
            </w:pPr>
          </w:p>
        </w:tc>
        <w:tc>
          <w:tcPr>
            <w:tcW w:w="1923" w:type="dxa"/>
            <w:vAlign w:val="center"/>
          </w:tcPr>
          <w:p w14:paraId="12DB5466">
            <w:pPr>
              <w:spacing w:before="50" w:line="300" w:lineRule="auto"/>
              <w:ind w:right="96" w:rightChars="0"/>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企业实力</w:t>
            </w:r>
          </w:p>
          <w:p w14:paraId="645C95CF">
            <w:pPr>
              <w:spacing w:before="50" w:line="300" w:lineRule="auto"/>
              <w:ind w:right="96" w:rightChars="0"/>
              <w:jc w:val="center"/>
              <w:rPr>
                <w:rFonts w:hint="eastAsia" w:ascii="宋体" w:hAnsi="宋体" w:eastAsia="宋体" w:cs="宋体"/>
                <w:snapToGrid w:val="0"/>
                <w:color w:val="FF0000"/>
                <w:kern w:val="0"/>
                <w:sz w:val="24"/>
                <w:szCs w:val="24"/>
                <w:lang w:val="en-US" w:eastAsia="zh-CN" w:bidi="ar-SA"/>
              </w:rPr>
            </w:pPr>
            <w:r>
              <w:rPr>
                <w:rFonts w:hint="eastAsia" w:ascii="宋体" w:hAnsi="宋体" w:eastAsia="宋体" w:cs="宋体"/>
                <w:color w:val="FF0000"/>
                <w:sz w:val="24"/>
                <w:szCs w:val="24"/>
                <w:lang w:eastAsia="zh-CN"/>
              </w:rPr>
              <w:t>（3分）</w:t>
            </w:r>
          </w:p>
        </w:tc>
        <w:tc>
          <w:tcPr>
            <w:tcW w:w="5031" w:type="dxa"/>
            <w:vAlign w:val="center"/>
          </w:tcPr>
          <w:p w14:paraId="67C30751">
            <w:pPr>
              <w:spacing w:line="300" w:lineRule="auto"/>
              <w:rPr>
                <w:rFonts w:hint="eastAsia" w:asciiTheme="minorEastAsia" w:hAnsiTheme="minorEastAsia"/>
                <w:color w:val="FF0000"/>
                <w:sz w:val="24"/>
                <w:szCs w:val="24"/>
                <w:lang w:val="en-US" w:eastAsia="zh-CN"/>
              </w:rPr>
            </w:pPr>
            <w:r>
              <w:rPr>
                <w:rFonts w:hint="eastAsia" w:asciiTheme="minorEastAsia" w:hAnsiTheme="minorEastAsia"/>
                <w:color w:val="FF0000"/>
                <w:sz w:val="24"/>
                <w:szCs w:val="24"/>
                <w:lang w:eastAsia="zh-CN"/>
              </w:rPr>
              <w:t>供应商获得质量管理体系认证、环境体系认证及职业健康管理体系认证，且在有效期内</w:t>
            </w:r>
            <w:r>
              <w:rPr>
                <w:rFonts w:hint="eastAsia" w:asciiTheme="minorEastAsia" w:hAnsiTheme="minorEastAsia"/>
                <w:color w:val="FF0000"/>
                <w:sz w:val="24"/>
                <w:szCs w:val="24"/>
                <w:lang w:val="en-US" w:eastAsia="zh-CN"/>
              </w:rPr>
              <w:t>的，每提供一个</w:t>
            </w:r>
            <w:r>
              <w:rPr>
                <w:rFonts w:hint="eastAsia" w:asciiTheme="minorEastAsia" w:hAnsiTheme="minorEastAsia"/>
                <w:color w:val="FF0000"/>
                <w:sz w:val="24"/>
                <w:szCs w:val="24"/>
                <w:lang w:eastAsia="zh-CN"/>
              </w:rPr>
              <w:t>得</w:t>
            </w:r>
            <w:r>
              <w:rPr>
                <w:rFonts w:hint="eastAsia" w:asciiTheme="minorEastAsia" w:hAnsiTheme="minorEastAsia"/>
                <w:color w:val="FF0000"/>
                <w:sz w:val="24"/>
                <w:szCs w:val="24"/>
                <w:lang w:val="en-US" w:eastAsia="zh-CN"/>
              </w:rPr>
              <w:t>1</w:t>
            </w:r>
            <w:r>
              <w:rPr>
                <w:rFonts w:hint="eastAsia" w:asciiTheme="minorEastAsia" w:hAnsiTheme="minorEastAsia"/>
                <w:color w:val="FF0000"/>
                <w:sz w:val="24"/>
                <w:szCs w:val="24"/>
                <w:lang w:eastAsia="zh-CN"/>
              </w:rPr>
              <w:t>分，</w:t>
            </w:r>
            <w:r>
              <w:rPr>
                <w:rFonts w:hint="eastAsia" w:asciiTheme="minorEastAsia" w:hAnsiTheme="minorEastAsia"/>
                <w:color w:val="FF0000"/>
                <w:sz w:val="24"/>
                <w:szCs w:val="24"/>
                <w:lang w:val="en-US" w:eastAsia="zh-CN"/>
              </w:rPr>
              <w:t>该项最高得分3分，未提供的不得分。</w:t>
            </w:r>
          </w:p>
          <w:p w14:paraId="1F2FECA0">
            <w:pPr>
              <w:spacing w:line="300" w:lineRule="auto"/>
              <w:rPr>
                <w:rFonts w:hint="eastAsia" w:cs="Arial" w:asciiTheme="minorEastAsia" w:hAnsiTheme="minorEastAsia" w:eastAsiaTheme="minorEastAsia"/>
                <w:snapToGrid w:val="0"/>
                <w:color w:val="FF0000"/>
                <w:kern w:val="0"/>
                <w:sz w:val="24"/>
                <w:szCs w:val="24"/>
                <w:lang w:val="en-US" w:eastAsia="zh-CN" w:bidi="ar-SA"/>
              </w:rPr>
            </w:pPr>
            <w:r>
              <w:rPr>
                <w:rFonts w:hint="eastAsia" w:asciiTheme="minorEastAsia" w:hAnsiTheme="minorEastAsia"/>
                <w:color w:val="FF0000"/>
                <w:sz w:val="24"/>
                <w:szCs w:val="24"/>
                <w:lang w:val="en-US" w:eastAsia="zh-CN"/>
              </w:rPr>
              <w:t>注：需</w:t>
            </w:r>
            <w:r>
              <w:rPr>
                <w:rFonts w:hint="eastAsia" w:asciiTheme="minorEastAsia" w:hAnsiTheme="minorEastAsia"/>
                <w:color w:val="FF0000"/>
                <w:sz w:val="24"/>
                <w:szCs w:val="24"/>
                <w:lang w:eastAsia="zh-CN"/>
              </w:rPr>
              <w:t>提供证书及中国国家认证认可监督管理委员会官网查询截图。</w:t>
            </w:r>
          </w:p>
        </w:tc>
      </w:tr>
      <w:tr w14:paraId="7023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9626FA8">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79AA9678">
            <w:pPr>
              <w:spacing w:line="300" w:lineRule="auto"/>
              <w:jc w:val="center"/>
              <w:rPr>
                <w:rFonts w:hint="eastAsia" w:asciiTheme="minorEastAsia" w:hAnsiTheme="minorEastAsia"/>
                <w:color w:val="FF0000"/>
                <w:sz w:val="24"/>
                <w:szCs w:val="24"/>
                <w:lang w:eastAsia="zh-CN"/>
              </w:rPr>
            </w:pPr>
          </w:p>
        </w:tc>
        <w:tc>
          <w:tcPr>
            <w:tcW w:w="1923" w:type="dxa"/>
            <w:vAlign w:val="center"/>
          </w:tcPr>
          <w:p w14:paraId="43FB5A42">
            <w:pPr>
              <w:spacing w:before="50" w:line="300" w:lineRule="auto"/>
              <w:ind w:right="96" w:rightChars="0"/>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延长</w:t>
            </w:r>
            <w:r>
              <w:rPr>
                <w:rFonts w:hint="eastAsia" w:ascii="宋体" w:hAnsi="宋体" w:eastAsia="宋体" w:cs="宋体"/>
                <w:color w:val="FF0000"/>
                <w:sz w:val="24"/>
                <w:szCs w:val="24"/>
                <w:lang w:eastAsia="zh-CN"/>
              </w:rPr>
              <w:t>保修期</w:t>
            </w:r>
          </w:p>
          <w:p w14:paraId="7A0E9F59">
            <w:pPr>
              <w:spacing w:before="50" w:line="300" w:lineRule="auto"/>
              <w:ind w:right="96" w:rightChars="0"/>
              <w:jc w:val="center"/>
              <w:rPr>
                <w:rFonts w:hint="eastAsia" w:ascii="宋体" w:hAnsi="宋体" w:eastAsia="宋体" w:cs="宋体"/>
                <w:snapToGrid w:val="0"/>
                <w:color w:val="FF0000"/>
                <w:kern w:val="0"/>
                <w:sz w:val="24"/>
                <w:szCs w:val="24"/>
                <w:lang w:val="en-US" w:eastAsia="zh-CN" w:bidi="ar-SA"/>
              </w:rPr>
            </w:pP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6</w:t>
            </w:r>
            <w:r>
              <w:rPr>
                <w:rFonts w:hint="eastAsia" w:ascii="宋体" w:hAnsi="宋体" w:eastAsia="宋体" w:cs="宋体"/>
                <w:color w:val="FF0000"/>
                <w:sz w:val="24"/>
                <w:szCs w:val="24"/>
                <w:lang w:eastAsia="zh-CN"/>
              </w:rPr>
              <w:t>分）</w:t>
            </w:r>
          </w:p>
        </w:tc>
        <w:tc>
          <w:tcPr>
            <w:tcW w:w="5031" w:type="dxa"/>
            <w:vAlign w:val="center"/>
          </w:tcPr>
          <w:p w14:paraId="4AD42BC2">
            <w:pPr>
              <w:widowControl w:val="0"/>
              <w:kinsoku/>
              <w:autoSpaceDE/>
              <w:autoSpaceDN/>
              <w:spacing w:line="360" w:lineRule="auto"/>
              <w:ind w:right="105" w:rightChars="0"/>
              <w:jc w:val="both"/>
              <w:textAlignment w:val="auto"/>
              <w:rPr>
                <w:rFonts w:hint="eastAsia" w:ascii="宋体" w:hAnsi="宋体" w:eastAsia="宋体" w:cs="宋体"/>
                <w:snapToGrid/>
                <w:color w:val="FF0000"/>
                <w:kern w:val="0"/>
                <w:sz w:val="24"/>
                <w:szCs w:val="24"/>
                <w:lang w:val="en-US" w:eastAsia="zh-CN" w:bidi="ar-SA"/>
              </w:rPr>
            </w:pPr>
            <w:r>
              <w:rPr>
                <w:rFonts w:hint="eastAsia" w:ascii="宋体" w:hAnsi="宋体" w:eastAsia="宋体" w:cs="宋体"/>
                <w:snapToGrid/>
                <w:color w:val="FF0000"/>
                <w:sz w:val="24"/>
                <w:szCs w:val="24"/>
                <w:lang w:eastAsia="zh-CN"/>
              </w:rPr>
              <w:t>在满足</w:t>
            </w:r>
            <w:r>
              <w:rPr>
                <w:rFonts w:hint="eastAsia" w:ascii="宋体" w:hAnsi="宋体" w:eastAsia="宋体" w:cs="宋体"/>
                <w:snapToGrid/>
                <w:color w:val="FF0000"/>
                <w:sz w:val="24"/>
                <w:szCs w:val="24"/>
                <w:lang w:val="en-US" w:eastAsia="zh-CN"/>
              </w:rPr>
              <w:t>自主</w:t>
            </w:r>
            <w:r>
              <w:rPr>
                <w:rFonts w:hint="eastAsia" w:ascii="宋体" w:hAnsi="宋体" w:eastAsia="宋体" w:cs="宋体"/>
                <w:snapToGrid/>
                <w:color w:val="FF0000"/>
                <w:sz w:val="24"/>
                <w:szCs w:val="24"/>
                <w:lang w:eastAsia="zh-CN"/>
              </w:rPr>
              <w:t>磋商文件</w:t>
            </w:r>
            <w:r>
              <w:rPr>
                <w:rFonts w:hint="eastAsia" w:ascii="宋体" w:hAnsi="宋体" w:eastAsia="宋体" w:cs="宋体"/>
                <w:color w:val="FF0000"/>
                <w:sz w:val="24"/>
                <w:szCs w:val="24"/>
                <w:lang w:eastAsia="zh-CN"/>
              </w:rPr>
              <w:t>保修期</w:t>
            </w:r>
            <w:r>
              <w:rPr>
                <w:rFonts w:hint="eastAsia" w:ascii="宋体" w:hAnsi="宋体" w:eastAsia="宋体" w:cs="宋体"/>
                <w:snapToGrid/>
                <w:color w:val="FF0000"/>
                <w:sz w:val="24"/>
                <w:szCs w:val="24"/>
                <w:lang w:eastAsia="zh-CN"/>
              </w:rPr>
              <w:t>要求的基础上，每</w:t>
            </w:r>
            <w:r>
              <w:rPr>
                <w:rFonts w:hint="eastAsia" w:ascii="宋体" w:hAnsi="宋体" w:eastAsia="宋体" w:cs="宋体"/>
                <w:snapToGrid/>
                <w:color w:val="FF0000"/>
                <w:sz w:val="24"/>
                <w:szCs w:val="24"/>
                <w:lang w:val="en-US" w:eastAsia="zh-CN"/>
              </w:rPr>
              <w:t>延长半</w:t>
            </w:r>
            <w:r>
              <w:rPr>
                <w:rFonts w:hint="eastAsia" w:ascii="宋体" w:hAnsi="宋体" w:eastAsia="宋体" w:cs="宋体"/>
                <w:snapToGrid/>
                <w:color w:val="FF0000"/>
                <w:sz w:val="24"/>
                <w:szCs w:val="24"/>
                <w:lang w:eastAsia="zh-CN"/>
              </w:rPr>
              <w:t>年免费质保</w:t>
            </w:r>
            <w:r>
              <w:rPr>
                <w:rFonts w:hint="eastAsia" w:ascii="宋体" w:hAnsi="宋体" w:eastAsia="宋体" w:cs="宋体"/>
                <w:snapToGrid/>
                <w:color w:val="FF0000"/>
                <w:sz w:val="24"/>
                <w:szCs w:val="24"/>
                <w:lang w:val="en-US" w:eastAsia="zh-CN"/>
              </w:rPr>
              <w:t>期的，</w:t>
            </w:r>
            <w:r>
              <w:rPr>
                <w:rFonts w:hint="eastAsia" w:ascii="宋体" w:hAnsi="宋体" w:eastAsia="宋体" w:cs="宋体"/>
                <w:snapToGrid/>
                <w:color w:val="FF0000"/>
                <w:sz w:val="24"/>
                <w:szCs w:val="24"/>
                <w:lang w:eastAsia="zh-CN"/>
              </w:rPr>
              <w:t>得</w:t>
            </w:r>
            <w:r>
              <w:rPr>
                <w:rFonts w:hint="eastAsia" w:ascii="宋体" w:hAnsi="宋体" w:eastAsia="宋体" w:cs="宋体"/>
                <w:snapToGrid/>
                <w:color w:val="FF0000"/>
                <w:sz w:val="24"/>
                <w:szCs w:val="24"/>
                <w:lang w:val="en-US" w:eastAsia="zh-CN"/>
              </w:rPr>
              <w:t>3</w:t>
            </w:r>
            <w:r>
              <w:rPr>
                <w:rFonts w:hint="eastAsia" w:ascii="宋体" w:hAnsi="宋体" w:eastAsia="宋体" w:cs="宋体"/>
                <w:snapToGrid/>
                <w:color w:val="FF0000"/>
                <w:sz w:val="24"/>
                <w:szCs w:val="24"/>
                <w:lang w:eastAsia="zh-CN"/>
              </w:rPr>
              <w:t>分，本项最高得</w:t>
            </w:r>
            <w:r>
              <w:rPr>
                <w:rFonts w:hint="eastAsia" w:ascii="宋体" w:hAnsi="宋体" w:eastAsia="宋体" w:cs="宋体"/>
                <w:snapToGrid/>
                <w:color w:val="FF0000"/>
                <w:sz w:val="24"/>
                <w:szCs w:val="24"/>
                <w:lang w:val="en-US" w:eastAsia="zh-CN"/>
              </w:rPr>
              <w:t>6</w:t>
            </w:r>
            <w:r>
              <w:rPr>
                <w:rFonts w:hint="eastAsia" w:ascii="宋体" w:hAnsi="宋体" w:eastAsia="宋体" w:cs="宋体"/>
                <w:snapToGrid/>
                <w:color w:val="FF0000"/>
                <w:sz w:val="24"/>
                <w:szCs w:val="24"/>
                <w:lang w:eastAsia="zh-CN"/>
              </w:rPr>
              <w:t>分。</w:t>
            </w:r>
          </w:p>
        </w:tc>
      </w:tr>
      <w:tr w14:paraId="5D2C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93659BD">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084C6BFA">
            <w:pPr>
              <w:spacing w:line="300" w:lineRule="auto"/>
              <w:jc w:val="center"/>
              <w:rPr>
                <w:rFonts w:hint="eastAsia" w:asciiTheme="minorEastAsia" w:hAnsiTheme="minorEastAsia"/>
                <w:color w:val="FF0000"/>
                <w:sz w:val="24"/>
                <w:szCs w:val="24"/>
                <w:lang w:eastAsia="zh-CN"/>
              </w:rPr>
            </w:pPr>
          </w:p>
        </w:tc>
        <w:tc>
          <w:tcPr>
            <w:tcW w:w="1923" w:type="dxa"/>
            <w:shd w:val="clear" w:color="auto" w:fill="FFFFFF"/>
            <w:vAlign w:val="center"/>
          </w:tcPr>
          <w:p w14:paraId="15811A68">
            <w:pPr>
              <w:spacing w:line="360" w:lineRule="auto"/>
              <w:jc w:val="center"/>
              <w:rPr>
                <w:rFonts w:hint="eastAsia" w:ascii="宋体" w:hAnsi="宋体" w:cs="宋体"/>
                <w:color w:val="FF0000"/>
                <w:sz w:val="24"/>
              </w:rPr>
            </w:pPr>
            <w:r>
              <w:rPr>
                <w:rFonts w:hint="eastAsia" w:ascii="宋体" w:hAnsi="宋体" w:cs="宋体"/>
                <w:color w:val="FF0000"/>
                <w:sz w:val="24"/>
              </w:rPr>
              <w:t>技术规格响应</w:t>
            </w:r>
          </w:p>
          <w:p w14:paraId="4428D194">
            <w:pPr>
              <w:spacing w:line="360" w:lineRule="auto"/>
              <w:jc w:val="center"/>
              <w:rPr>
                <w:rFonts w:hint="eastAsia" w:ascii="宋体" w:hAnsi="宋体" w:cs="宋体" w:eastAsiaTheme="minorEastAsia"/>
                <w:snapToGrid w:val="0"/>
                <w:color w:val="FF0000"/>
                <w:kern w:val="0"/>
                <w:sz w:val="24"/>
                <w:szCs w:val="21"/>
                <w:lang w:val="en-US" w:eastAsia="en-US" w:bidi="ar-SA"/>
              </w:rPr>
            </w:pPr>
            <w:r>
              <w:rPr>
                <w:rFonts w:hint="eastAsia" w:ascii="宋体" w:hAnsi="宋体" w:cs="宋体"/>
                <w:color w:val="FF0000"/>
                <w:sz w:val="24"/>
              </w:rPr>
              <w:t>（</w:t>
            </w:r>
            <w:r>
              <w:rPr>
                <w:rFonts w:hint="eastAsia" w:ascii="宋体" w:hAnsi="宋体" w:cs="宋体"/>
                <w:color w:val="FF0000"/>
                <w:sz w:val="24"/>
                <w:lang w:val="en-US" w:eastAsia="zh-CN"/>
              </w:rPr>
              <w:t>15分</w:t>
            </w:r>
            <w:r>
              <w:rPr>
                <w:rFonts w:hint="eastAsia" w:ascii="宋体" w:hAnsi="宋体" w:cs="宋体"/>
                <w:color w:val="FF0000"/>
                <w:sz w:val="24"/>
              </w:rPr>
              <w:t>）</w:t>
            </w:r>
          </w:p>
        </w:tc>
        <w:tc>
          <w:tcPr>
            <w:tcW w:w="5031" w:type="dxa"/>
            <w:shd w:val="clear" w:color="auto" w:fill="FFFFFF"/>
            <w:vAlign w:val="center"/>
          </w:tcPr>
          <w:p w14:paraId="6415B644">
            <w:pPr>
              <w:snapToGrid w:val="0"/>
              <w:spacing w:line="360" w:lineRule="auto"/>
              <w:jc w:val="left"/>
              <w:rPr>
                <w:rFonts w:hint="default" w:ascii="宋体" w:hAnsi="宋体" w:cs="宋体" w:eastAsiaTheme="minorEastAsia"/>
                <w:color w:val="FF0000"/>
                <w:kern w:val="0"/>
                <w:sz w:val="24"/>
                <w:lang w:val="en-US" w:eastAsia="zh-CN"/>
              </w:rPr>
            </w:pPr>
            <w:r>
              <w:rPr>
                <w:rFonts w:hint="eastAsia" w:ascii="宋体" w:hAnsi="宋体" w:cs="宋体"/>
                <w:color w:val="FF0000"/>
                <w:kern w:val="0"/>
                <w:sz w:val="24"/>
              </w:rPr>
              <w:t>1、投标文件中详细列明投标产品所用主要材料的规格、型号、品牌</w:t>
            </w:r>
            <w:r>
              <w:rPr>
                <w:rFonts w:hint="eastAsia" w:ascii="宋体" w:hAnsi="宋体" w:cs="宋体"/>
                <w:color w:val="FF0000"/>
                <w:kern w:val="0"/>
                <w:sz w:val="24"/>
                <w:lang w:eastAsia="zh-CN"/>
              </w:rPr>
              <w:t>，</w:t>
            </w:r>
            <w:r>
              <w:rPr>
                <w:rFonts w:hint="eastAsia" w:ascii="宋体" w:hAnsi="宋体" w:cs="宋体"/>
                <w:color w:val="FF0000"/>
                <w:kern w:val="0"/>
                <w:sz w:val="24"/>
              </w:rPr>
              <w:t>且</w:t>
            </w:r>
            <w:r>
              <w:rPr>
                <w:rFonts w:hint="eastAsia" w:ascii="宋体" w:hAnsi="宋体" w:cs="宋体"/>
                <w:color w:val="FF0000"/>
                <w:kern w:val="0"/>
                <w:sz w:val="24"/>
                <w:lang w:val="en-US" w:eastAsia="zh-CN"/>
              </w:rPr>
              <w:t>提供该主要材料的</w:t>
            </w:r>
            <w:r>
              <w:rPr>
                <w:rFonts w:hint="eastAsia" w:ascii="宋体" w:hAnsi="宋体" w:cs="宋体"/>
                <w:color w:val="FF0000"/>
                <w:kern w:val="0"/>
                <w:sz w:val="24"/>
              </w:rPr>
              <w:t>检验报告</w:t>
            </w:r>
            <w:r>
              <w:rPr>
                <w:rFonts w:hint="eastAsia" w:ascii="宋体" w:hAnsi="宋体" w:cs="宋体"/>
                <w:color w:val="FF0000"/>
                <w:kern w:val="0"/>
                <w:sz w:val="24"/>
                <w:lang w:eastAsia="zh-CN"/>
              </w:rPr>
              <w:t>（</w:t>
            </w:r>
            <w:r>
              <w:rPr>
                <w:rFonts w:hint="eastAsia" w:ascii="宋体" w:hAnsi="宋体" w:cs="宋体"/>
                <w:color w:val="FF0000"/>
                <w:kern w:val="0"/>
                <w:sz w:val="24"/>
                <w:lang w:val="en-US" w:eastAsia="zh-CN"/>
              </w:rPr>
              <w:t>报告日期为2023年1月1日后</w:t>
            </w:r>
            <w:r>
              <w:rPr>
                <w:rFonts w:hint="eastAsia" w:ascii="宋体" w:hAnsi="宋体" w:cs="宋体"/>
                <w:color w:val="FF0000"/>
                <w:kern w:val="0"/>
                <w:sz w:val="24"/>
                <w:lang w:eastAsia="zh-CN"/>
              </w:rPr>
              <w:t>）</w:t>
            </w:r>
            <w:r>
              <w:rPr>
                <w:rFonts w:hint="eastAsia" w:ascii="宋体" w:hAnsi="宋体" w:cs="宋体"/>
                <w:color w:val="FF0000"/>
                <w:kern w:val="0"/>
                <w:sz w:val="24"/>
              </w:rPr>
              <w:t>，</w:t>
            </w:r>
            <w:r>
              <w:rPr>
                <w:rFonts w:hint="eastAsia" w:ascii="宋体" w:hAnsi="宋体" w:cs="宋体"/>
                <w:color w:val="FF0000"/>
                <w:kern w:val="0"/>
                <w:sz w:val="24"/>
                <w:lang w:val="en-US" w:eastAsia="zh-CN"/>
              </w:rPr>
              <w:t>每提供一种</w:t>
            </w:r>
            <w:r>
              <w:rPr>
                <w:rFonts w:hint="eastAsia" w:ascii="宋体" w:hAnsi="宋体" w:cs="宋体"/>
                <w:color w:val="FF0000"/>
                <w:kern w:val="0"/>
                <w:sz w:val="24"/>
              </w:rPr>
              <w:t>得3分，</w:t>
            </w:r>
            <w:r>
              <w:rPr>
                <w:rFonts w:hint="eastAsia" w:ascii="宋体" w:hAnsi="宋体" w:cs="宋体"/>
                <w:color w:val="FF0000"/>
                <w:kern w:val="0"/>
                <w:sz w:val="24"/>
                <w:lang w:val="en-US" w:eastAsia="zh-CN"/>
              </w:rPr>
              <w:t>本项最高得分15分。</w:t>
            </w:r>
          </w:p>
          <w:p w14:paraId="2209464B">
            <w:pPr>
              <w:snapToGrid w:val="0"/>
              <w:spacing w:line="360" w:lineRule="auto"/>
              <w:jc w:val="left"/>
              <w:rPr>
                <w:rFonts w:hint="default" w:ascii="宋体" w:hAnsi="宋体" w:cs="宋体" w:eastAsiaTheme="minorEastAsia"/>
                <w:snapToGrid w:val="0"/>
                <w:color w:val="FF0000"/>
                <w:kern w:val="0"/>
                <w:sz w:val="24"/>
                <w:szCs w:val="21"/>
                <w:lang w:val="en-US" w:eastAsia="zh-CN" w:bidi="ar-SA"/>
              </w:rPr>
            </w:pPr>
            <w:r>
              <w:rPr>
                <w:rFonts w:hint="eastAsia" w:ascii="宋体" w:hAnsi="宋体" w:cs="宋体"/>
                <w:snapToGrid w:val="0"/>
                <w:color w:val="FF0000"/>
                <w:kern w:val="0"/>
                <w:sz w:val="24"/>
                <w:szCs w:val="21"/>
                <w:lang w:val="en-US" w:eastAsia="zh-CN" w:bidi="ar-SA"/>
              </w:rPr>
              <w:t>2、主要材料有5种，分别为灯箱布、PVC板、镀锌角钢、铝合金型材、照明灯带。</w:t>
            </w:r>
          </w:p>
        </w:tc>
      </w:tr>
      <w:tr w14:paraId="549A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1E413FE">
            <w:pPr>
              <w:spacing w:line="300" w:lineRule="auto"/>
              <w:jc w:val="center"/>
              <w:rPr>
                <w:rFonts w:asciiTheme="minorEastAsia" w:hAnsiTheme="minorEastAsia"/>
                <w:color w:val="FF0000"/>
                <w:sz w:val="24"/>
                <w:szCs w:val="24"/>
                <w:lang w:eastAsia="zh-CN"/>
              </w:rPr>
            </w:pPr>
          </w:p>
        </w:tc>
        <w:tc>
          <w:tcPr>
            <w:tcW w:w="936" w:type="dxa"/>
            <w:vMerge w:val="continue"/>
            <w:vAlign w:val="center"/>
          </w:tcPr>
          <w:p w14:paraId="181E722A">
            <w:pPr>
              <w:spacing w:line="300" w:lineRule="auto"/>
              <w:jc w:val="center"/>
              <w:rPr>
                <w:rFonts w:asciiTheme="minorEastAsia" w:hAnsiTheme="minorEastAsia"/>
                <w:color w:val="FF0000"/>
                <w:sz w:val="24"/>
                <w:szCs w:val="24"/>
                <w:lang w:eastAsia="zh-CN"/>
              </w:rPr>
            </w:pPr>
          </w:p>
        </w:tc>
        <w:tc>
          <w:tcPr>
            <w:tcW w:w="1923" w:type="dxa"/>
            <w:vAlign w:val="center"/>
          </w:tcPr>
          <w:p w14:paraId="26E58721">
            <w:pPr>
              <w:spacing w:before="69" w:line="300" w:lineRule="auto"/>
              <w:ind w:left="202"/>
              <w:jc w:val="center"/>
              <w:rPr>
                <w:rFonts w:hint="eastAsia" w:asciiTheme="minorEastAsia" w:hAnsiTheme="minorEastAsia"/>
                <w:color w:val="FF0000"/>
                <w:sz w:val="24"/>
                <w:szCs w:val="24"/>
                <w:lang w:eastAsia="zh-CN"/>
              </w:rPr>
            </w:pPr>
            <w:r>
              <w:rPr>
                <w:rFonts w:hint="eastAsia" w:asciiTheme="minorEastAsia" w:hAnsiTheme="minorEastAsia"/>
                <w:color w:val="FF0000"/>
                <w:sz w:val="24"/>
                <w:szCs w:val="24"/>
                <w:lang w:eastAsia="zh-CN"/>
              </w:rPr>
              <w:t>服务承诺</w:t>
            </w:r>
          </w:p>
          <w:p w14:paraId="592579B9">
            <w:pPr>
              <w:spacing w:before="69" w:line="300" w:lineRule="auto"/>
              <w:ind w:left="202"/>
              <w:jc w:val="center"/>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w:t>
            </w:r>
            <w:r>
              <w:rPr>
                <w:rFonts w:hint="eastAsia" w:asciiTheme="minorEastAsia" w:hAnsiTheme="minorEastAsia"/>
                <w:color w:val="FF0000"/>
                <w:sz w:val="24"/>
                <w:szCs w:val="24"/>
                <w:lang w:val="en-US" w:eastAsia="zh-CN"/>
              </w:rPr>
              <w:t>5</w:t>
            </w:r>
            <w:r>
              <w:rPr>
                <w:rFonts w:hint="eastAsia" w:asciiTheme="minorEastAsia" w:hAnsiTheme="minorEastAsia"/>
                <w:color w:val="FF0000"/>
                <w:sz w:val="24"/>
                <w:szCs w:val="24"/>
                <w:lang w:eastAsia="zh-CN"/>
              </w:rPr>
              <w:t>分）</w:t>
            </w:r>
          </w:p>
        </w:tc>
        <w:tc>
          <w:tcPr>
            <w:tcW w:w="5031" w:type="dxa"/>
          </w:tcPr>
          <w:p w14:paraId="69C354A2">
            <w:pPr>
              <w:numPr>
                <w:ilvl w:val="0"/>
                <w:numId w:val="0"/>
              </w:numPr>
              <w:spacing w:line="300" w:lineRule="auto"/>
              <w:rPr>
                <w:rFonts w:hint="eastAsia" w:asciiTheme="minorEastAsia" w:hAnsiTheme="minorEastAsia"/>
                <w:color w:val="FF0000"/>
                <w:sz w:val="24"/>
                <w:szCs w:val="24"/>
                <w:lang w:eastAsia="zh-CN"/>
              </w:rPr>
            </w:pPr>
            <w:r>
              <w:rPr>
                <w:rFonts w:hint="eastAsia" w:asciiTheme="minorEastAsia" w:hAnsiTheme="minorEastAsia"/>
                <w:color w:val="FF0000"/>
                <w:sz w:val="24"/>
                <w:szCs w:val="24"/>
                <w:lang w:val="en-US" w:eastAsia="zh-CN"/>
              </w:rPr>
              <w:t>1.</w:t>
            </w:r>
            <w:r>
              <w:rPr>
                <w:rFonts w:hint="eastAsia" w:asciiTheme="minorEastAsia" w:hAnsiTheme="minorEastAsia"/>
                <w:color w:val="FF0000"/>
                <w:sz w:val="24"/>
                <w:szCs w:val="24"/>
                <w:lang w:eastAsia="zh-CN"/>
              </w:rPr>
              <w:t>保修期内、外的服务承诺：自接到用户报修后及时响应，24小时内到达用户现场，48小时内解决问题或制定经业主方认同的修缮方案。每年至少一次免费全面检查，并写出正式报告，如发现潜在问题，应提出明确解决方案。</w:t>
            </w:r>
          </w:p>
          <w:p w14:paraId="6E09C90D">
            <w:pPr>
              <w:numPr>
                <w:ilvl w:val="0"/>
                <w:numId w:val="0"/>
              </w:numPr>
              <w:spacing w:line="300" w:lineRule="auto"/>
              <w:rPr>
                <w:rFonts w:hint="default" w:ascii="宋体" w:hAnsi="宋体" w:cs="宋体" w:eastAsiaTheme="minorEastAsia"/>
                <w:color w:val="FF0000"/>
                <w:sz w:val="24"/>
                <w:lang w:val="en-US" w:eastAsia="zh-CN"/>
              </w:rPr>
            </w:pPr>
            <w:r>
              <w:rPr>
                <w:rFonts w:hint="eastAsia" w:asciiTheme="minorEastAsia" w:hAnsiTheme="minorEastAsia"/>
                <w:color w:val="FF0000"/>
                <w:sz w:val="24"/>
                <w:szCs w:val="24"/>
                <w:lang w:val="en-US" w:eastAsia="zh-CN"/>
              </w:rPr>
              <w:t>2.其他额外的服务承诺。</w:t>
            </w:r>
          </w:p>
          <w:p w14:paraId="15D8B9CC">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w:t>
            </w:r>
            <w:r>
              <w:rPr>
                <w:rFonts w:hint="eastAsia" w:asciiTheme="minorEastAsia" w:hAnsiTheme="minorEastAsia"/>
                <w:color w:val="FF0000"/>
                <w:sz w:val="24"/>
                <w:szCs w:val="24"/>
                <w:lang w:val="en-US" w:eastAsia="zh-CN"/>
              </w:rPr>
              <w:t>1</w:t>
            </w:r>
            <w:r>
              <w:rPr>
                <w:rFonts w:hint="eastAsia" w:asciiTheme="minorEastAsia" w:hAnsiTheme="minorEastAsia"/>
                <w:color w:val="FF0000"/>
                <w:sz w:val="24"/>
                <w:szCs w:val="24"/>
                <w:lang w:eastAsia="zh-CN"/>
              </w:rPr>
              <w:t>）承诺科学、合理、切实可行得</w:t>
            </w:r>
            <w:r>
              <w:rPr>
                <w:rFonts w:hint="eastAsia" w:asciiTheme="minorEastAsia" w:hAnsiTheme="minorEastAsia"/>
                <w:color w:val="FF0000"/>
                <w:sz w:val="24"/>
                <w:szCs w:val="24"/>
                <w:lang w:val="en-US" w:eastAsia="zh-CN"/>
              </w:rPr>
              <w:t>5</w:t>
            </w:r>
            <w:r>
              <w:rPr>
                <w:rFonts w:hint="eastAsia" w:asciiTheme="minorEastAsia" w:hAnsiTheme="minorEastAsia"/>
                <w:color w:val="FF0000"/>
                <w:sz w:val="24"/>
                <w:szCs w:val="24"/>
                <w:lang w:eastAsia="zh-CN"/>
              </w:rPr>
              <w:t xml:space="preserve">分； </w:t>
            </w:r>
          </w:p>
          <w:p w14:paraId="0B0A46AE">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w:t>
            </w:r>
            <w:r>
              <w:rPr>
                <w:rFonts w:hint="eastAsia" w:asciiTheme="minorEastAsia" w:hAnsiTheme="minorEastAsia"/>
                <w:color w:val="FF0000"/>
                <w:sz w:val="24"/>
                <w:szCs w:val="24"/>
                <w:lang w:val="en-US" w:eastAsia="zh-CN"/>
              </w:rPr>
              <w:t>2</w:t>
            </w:r>
            <w:r>
              <w:rPr>
                <w:rFonts w:hint="eastAsia" w:asciiTheme="minorEastAsia" w:hAnsiTheme="minorEastAsia"/>
                <w:color w:val="FF0000"/>
                <w:sz w:val="24"/>
                <w:szCs w:val="24"/>
                <w:lang w:eastAsia="zh-CN"/>
              </w:rPr>
              <w:t>）承诺基本科学、基本合理、基本可行得</w:t>
            </w:r>
            <w:r>
              <w:rPr>
                <w:rFonts w:hint="eastAsia" w:asciiTheme="minorEastAsia" w:hAnsiTheme="minorEastAsia"/>
                <w:color w:val="FF0000"/>
                <w:sz w:val="24"/>
                <w:szCs w:val="24"/>
                <w:lang w:val="en-US" w:eastAsia="zh-CN"/>
              </w:rPr>
              <w:t>3-4</w:t>
            </w:r>
            <w:r>
              <w:rPr>
                <w:rFonts w:hint="eastAsia" w:asciiTheme="minorEastAsia" w:hAnsiTheme="minorEastAsia"/>
                <w:color w:val="FF0000"/>
                <w:sz w:val="24"/>
                <w:szCs w:val="24"/>
                <w:lang w:eastAsia="zh-CN"/>
              </w:rPr>
              <w:t>分；</w:t>
            </w:r>
          </w:p>
          <w:p w14:paraId="6E0AF567">
            <w:pPr>
              <w:spacing w:line="300" w:lineRule="auto"/>
              <w:rPr>
                <w:rFonts w:hint="eastAsia" w:asciiTheme="minorEastAsia" w:hAnsiTheme="minorEastAsia"/>
                <w:color w:val="FF0000"/>
                <w:sz w:val="24"/>
                <w:szCs w:val="24"/>
                <w:lang w:eastAsia="zh-CN"/>
              </w:rPr>
            </w:pPr>
            <w:r>
              <w:rPr>
                <w:rFonts w:hint="eastAsia" w:asciiTheme="minorEastAsia" w:hAnsiTheme="minorEastAsia"/>
                <w:color w:val="FF0000"/>
                <w:sz w:val="24"/>
                <w:szCs w:val="24"/>
                <w:lang w:eastAsia="zh-CN"/>
              </w:rPr>
              <w:t>（</w:t>
            </w:r>
            <w:r>
              <w:rPr>
                <w:rFonts w:hint="eastAsia" w:asciiTheme="minorEastAsia" w:hAnsiTheme="minorEastAsia"/>
                <w:color w:val="FF0000"/>
                <w:sz w:val="24"/>
                <w:szCs w:val="24"/>
                <w:lang w:val="en-US" w:eastAsia="zh-CN"/>
              </w:rPr>
              <w:t>3</w:t>
            </w:r>
            <w:r>
              <w:rPr>
                <w:rFonts w:hint="eastAsia" w:asciiTheme="minorEastAsia" w:hAnsiTheme="minorEastAsia"/>
                <w:color w:val="FF0000"/>
                <w:sz w:val="24"/>
                <w:szCs w:val="24"/>
                <w:lang w:eastAsia="zh-CN"/>
              </w:rPr>
              <w:t>）基本合理，可行性差的得1</w:t>
            </w:r>
            <w:r>
              <w:rPr>
                <w:rFonts w:hint="eastAsia" w:asciiTheme="minorEastAsia" w:hAnsiTheme="minorEastAsia"/>
                <w:color w:val="FF0000"/>
                <w:sz w:val="24"/>
                <w:szCs w:val="24"/>
                <w:lang w:val="en-US" w:eastAsia="zh-CN"/>
              </w:rPr>
              <w:t>-2</w:t>
            </w:r>
            <w:r>
              <w:rPr>
                <w:rFonts w:hint="eastAsia" w:asciiTheme="minorEastAsia" w:hAnsiTheme="minorEastAsia"/>
                <w:color w:val="FF0000"/>
                <w:sz w:val="24"/>
                <w:szCs w:val="24"/>
                <w:lang w:eastAsia="zh-CN"/>
              </w:rPr>
              <w:t>分；</w:t>
            </w:r>
          </w:p>
          <w:p w14:paraId="36875082">
            <w:pPr>
              <w:pStyle w:val="2"/>
              <w:rPr>
                <w:rFonts w:hint="default"/>
                <w:color w:val="FF0000"/>
                <w:lang w:val="en-US" w:eastAsia="zh-CN"/>
              </w:rPr>
            </w:pPr>
            <w:r>
              <w:rPr>
                <w:rFonts w:hint="eastAsia" w:asciiTheme="minorEastAsia" w:hAnsiTheme="minorEastAsia"/>
                <w:color w:val="FF0000"/>
                <w:sz w:val="24"/>
                <w:szCs w:val="24"/>
                <w:lang w:val="en-US" w:eastAsia="zh-CN"/>
              </w:rPr>
              <w:t>（4）未承诺的，该项不得分。</w:t>
            </w:r>
          </w:p>
        </w:tc>
      </w:tr>
      <w:tr w14:paraId="0C5D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7" w:type="dxa"/>
            <w:gridSpan w:val="4"/>
            <w:vAlign w:val="center"/>
          </w:tcPr>
          <w:p w14:paraId="4622B193">
            <w:pPr>
              <w:spacing w:line="300" w:lineRule="auto"/>
              <w:rPr>
                <w:rFonts w:asciiTheme="minorEastAsia" w:hAnsiTheme="minorEastAsia"/>
                <w:color w:val="FF0000"/>
                <w:sz w:val="24"/>
                <w:szCs w:val="24"/>
                <w:lang w:eastAsia="zh-CN"/>
              </w:rPr>
            </w:pPr>
            <w:r>
              <w:rPr>
                <w:rFonts w:hint="eastAsia" w:asciiTheme="minorEastAsia" w:hAnsiTheme="minorEastAsia"/>
                <w:color w:val="FF0000"/>
                <w:sz w:val="24"/>
                <w:szCs w:val="24"/>
                <w:lang w:eastAsia="zh-CN"/>
              </w:rPr>
              <w:t>注：以上各评审项，如有缺项，则对应该项得0分。</w:t>
            </w:r>
          </w:p>
        </w:tc>
      </w:tr>
    </w:tbl>
    <w:p w14:paraId="1AF251CB">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1.评审办法</w:t>
      </w:r>
    </w:p>
    <w:p w14:paraId="5B34C42A">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 xml:space="preserve">   本次自主磋商采用综合评分法评审，磋商小组对满足自主磋商文件实质性要求且最终确定采购需求和在规定时间提交最后报价的响应文件，且按照评审因素的量化指标评审综合得分由高到低顺序推荐为成交候选人的评审方法。</w:t>
      </w:r>
    </w:p>
    <w:p w14:paraId="64ABAB50">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2.评审标准</w:t>
      </w:r>
    </w:p>
    <w:p w14:paraId="2531EDCF">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2.1初步评审标准</w:t>
      </w:r>
    </w:p>
    <w:p w14:paraId="0CF234AD">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2.1.1形式评审标准：见评审办法前附表。</w:t>
      </w:r>
    </w:p>
    <w:p w14:paraId="5D542FFB">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2.1.2资格评审标准：见评审办法前附表。</w:t>
      </w:r>
    </w:p>
    <w:p w14:paraId="2213F713">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2.1.3响应性评审标准：见评审办法前附表。</w:t>
      </w:r>
    </w:p>
    <w:p w14:paraId="4ABBF36B">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2.2分值构成与评分标准</w:t>
      </w:r>
    </w:p>
    <w:p w14:paraId="64A8E3B1">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2.2.1分值构成</w:t>
      </w:r>
    </w:p>
    <w:p w14:paraId="709EE86D">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(1) 报价得分：见评审办法前附表；</w:t>
      </w:r>
    </w:p>
    <w:p w14:paraId="2D5C73EB">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 技术部分：见评审办法前附表；</w:t>
      </w:r>
    </w:p>
    <w:p w14:paraId="76215784">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 综合实力部分：见评审办法前附表；</w:t>
      </w:r>
    </w:p>
    <w:p w14:paraId="6122527E">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2.2.2评分标准</w:t>
      </w:r>
    </w:p>
    <w:p w14:paraId="2106C32D">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(1) 报价得分标准：见评审办法前附表；</w:t>
      </w:r>
    </w:p>
    <w:p w14:paraId="6FE37C2D">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 技术部分标准：见评审办法前附表；</w:t>
      </w:r>
    </w:p>
    <w:p w14:paraId="3413988E">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 综合实力标准：见评审办法前附表；</w:t>
      </w:r>
    </w:p>
    <w:p w14:paraId="2E5B83F2">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3.评审程序</w:t>
      </w:r>
    </w:p>
    <w:p w14:paraId="4D9DE067">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3.1初步评审</w:t>
      </w:r>
    </w:p>
    <w:p w14:paraId="31A1D024">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3.1.1磋商小组依据本章评审办法前附表规定的标准，对供应商的响应文件进行初步评审，以确定其是否满足自主磋商文件的实质性要求，有一项不符合评审标准的，磋商小组应当认定其响应文件无效。</w:t>
      </w:r>
    </w:p>
    <w:p w14:paraId="2B5082FB">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3.1.2磋商报价有算术错误及其他错误的，磋商小组按以下原则要求供应商对磋商报价进行修正</w:t>
      </w:r>
    </w:p>
    <w:p w14:paraId="28859161">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(1) 大写金额和小写金额不一致的，以大写金额为准，但大写金额文字存在错误的，应当先对大写金额的文字错误进行澄清、说明或者更正，再行修正。</w:t>
      </w:r>
    </w:p>
    <w:p w14:paraId="562C029D">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 总价金额与按单价汇总金额不一致的，以单价金额计算结果为准，但单价或者单价汇总金额存在数字或者文字错误的，应当先对数字或者文字错误进行澄清、说明或者更正，再行修正。</w:t>
      </w:r>
    </w:p>
    <w:p w14:paraId="2BBC66D3">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 单价金额小数点或者百分比有明显错位的，以总价为准，修正单价。</w:t>
      </w:r>
    </w:p>
    <w:p w14:paraId="1DCAFCBF">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(4)同时出现两种以上不一致的，按照上述规定的顺序修正。修正后的报价应当采用书面形式，并加盖公章或者由法定代表人或其授权的代表签字，供应商不确认的，其响应文件无效。</w:t>
      </w:r>
    </w:p>
    <w:p w14:paraId="6DBC94D6">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3.2详细磋商</w:t>
      </w:r>
    </w:p>
    <w:p w14:paraId="0FB3E350">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3.2.1磋商小组集中与单一供应商分别进行磋商。在磋商中，磋商双方可以就磋商项目所涉及的价格、技术、服务、合同草案条款等进行实质性磋商，但磋商的任何一方不得透露与磋商有关的其他供应商的商业秘密、技术资料、价格和其他信息。</w:t>
      </w:r>
    </w:p>
    <w:p w14:paraId="3079BAE5">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3.2.2在磋商过程中，磋商小组可以根据自主磋商文件和磋商情况实质性变动采购需求中的技术、服务要求以及合同草案条款，但不得变动自主磋商文件中的其他内容。实质性变动的内容，须经采购人代表确认。</w:t>
      </w:r>
    </w:p>
    <w:p w14:paraId="64F870E1">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3.2.3对自主磋商文件作出的实质性变动是自主磋商文件的有效组成部分，磋商小组应当以书面形式同时通知所有参加磋商的供应商。</w:t>
      </w:r>
    </w:p>
    <w:p w14:paraId="334A64AB">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3.2.4自主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F7B3391">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3.2.5自主磋商文件能够详细列明采购标的的技术、服务要求的，磋商结束后，磋商小组应当要求所有实质性响应的供应商在规定时间内提交最后报价，提交最后报价的供应商不得少于3家。</w:t>
      </w:r>
    </w:p>
    <w:p w14:paraId="56ABA2AC">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3.2.6最后报价（二轮报价）是供应商响应文件的有效组成部分【注：最后报价明显低于成本价的，供应商需做出合理说明，否则将承担不被接受的风险】。</w:t>
      </w:r>
    </w:p>
    <w:p w14:paraId="083FFE95">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3.2.7情况特殊,经磋商小组根据磋商现场情况，可以要求供应商适当进行多轮报价。</w:t>
      </w:r>
    </w:p>
    <w:p w14:paraId="28A96F6C">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3.2.8经磋商确定最终采购需求和提交最后报价的供应商后，由磋商小组采用综合评分法对提交最后报价的供应商的响应文件和最后报价进行综合评分。</w:t>
      </w:r>
    </w:p>
    <w:p w14:paraId="60BDBF37">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3.3详细评审</w:t>
      </w:r>
    </w:p>
    <w:p w14:paraId="3D908A07">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3.3.1磋商小组按本章评审方法规定的量化因素和分值进行打分，并计算出综合得分。</w:t>
      </w:r>
    </w:p>
    <w:p w14:paraId="0FBD409C">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(1) 按本章第2.2.2（1）目规定的评审因素和分值对报价得分计算出得分A；</w:t>
      </w:r>
    </w:p>
    <w:p w14:paraId="16600784">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 按本章第2.2.2（2）目规定的评审因素和分值对技术部分计算出得分B；</w:t>
      </w:r>
    </w:p>
    <w:p w14:paraId="729A2AA5">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 按本章第2.2.2（3）目规定的评审因素和分值对综合实力计算出得分C。</w:t>
      </w:r>
    </w:p>
    <w:p w14:paraId="530C614E">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3.3.2评分分值计算保留小数点后两位，小数点后第三位“四舍五入”。</w:t>
      </w:r>
    </w:p>
    <w:p w14:paraId="44214922">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3.3.3供应商得分=A+B+C。</w:t>
      </w:r>
    </w:p>
    <w:p w14:paraId="742099F9">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3.3.4磋商小组认为供应商的最后报价明显低于成本价的，有可能影响产品质量或者不能诚信履约的，应当要求其在评审现场合理的时间内提供书面说明，必要时提交相关证明材料；供应商不能证明其报价合理性的，磋商小组应当将其作为无效响应文件处理。</w:t>
      </w:r>
    </w:p>
    <w:p w14:paraId="221CD890">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3.4响应文件的澄清</w:t>
      </w:r>
    </w:p>
    <w:p w14:paraId="5CE268AD">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3.4.1在评审过程中，磋商小组可以书面形式要求供应商对响应文件中含义不明确、对同类问题表述不一致或者有明显文字和计算错误的内容作必要的澄清、说明或补正。澄清、说明或补正应以书面方式进行，并加盖公章，或者由法定代表人或其授权的代表签字。磋商小组不接受供应商主动提出的澄清、说明或补正。</w:t>
      </w:r>
    </w:p>
    <w:p w14:paraId="5206FB1B">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3.4.2澄清、说明或补正不得超出响应文件的范围且不得改变响应文件的实质性内容，并构成响应文件的组成部分。</w:t>
      </w:r>
    </w:p>
    <w:p w14:paraId="719DAC0F">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3.4.3磋商小组对供应商提交的澄清、说明或补正有疑问的，可以要求供应商进一步澄清、说明或补正，直至满足磋商小组的要求。</w:t>
      </w:r>
    </w:p>
    <w:p w14:paraId="3CCD007D">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3.5评审结果</w:t>
      </w:r>
    </w:p>
    <w:p w14:paraId="4F21C928">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3.5.1除采购人授权直接确定成交人外，按照各评审专家评审综合得分的算术平均值由高到低顺序推荐3名成交候选供应商，评审得分相同的，按照最后报价由低到高的顺序推荐。评审得分且最后报价相同的并列。</w:t>
      </w:r>
    </w:p>
    <w:p w14:paraId="64023B82">
      <w:pPr>
        <w:spacing w:line="360" w:lineRule="auto"/>
        <w:ind w:firstLine="424" w:firstLineChars="177"/>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3.5.2磋商小组完成评审后，应当向采购人提交书面评审报告和成交候选人名单并编写评审报告。</w:t>
      </w:r>
    </w:p>
    <w:p w14:paraId="14477F42">
      <w:pPr>
        <w:spacing w:line="360" w:lineRule="auto"/>
        <w:rPr>
          <w:rFonts w:asciiTheme="minorEastAsia" w:hAnsiTheme="minorEastAsia"/>
          <w:color w:val="auto"/>
          <w:sz w:val="24"/>
          <w:szCs w:val="24"/>
          <w:lang w:eastAsia="zh-CN"/>
        </w:rPr>
      </w:pPr>
    </w:p>
    <w:p w14:paraId="57536716">
      <w:pPr>
        <w:spacing w:line="360" w:lineRule="auto"/>
        <w:rPr>
          <w:rFonts w:asciiTheme="minorEastAsia" w:hAnsiTheme="minorEastAsia"/>
          <w:color w:val="auto"/>
          <w:sz w:val="24"/>
          <w:szCs w:val="24"/>
          <w:lang w:eastAsia="zh-CN"/>
        </w:rPr>
      </w:pPr>
    </w:p>
    <w:p w14:paraId="245DA3A9">
      <w:pPr>
        <w:kinsoku/>
        <w:autoSpaceDE/>
        <w:autoSpaceDN/>
        <w:adjustRightInd/>
        <w:snapToGrid/>
        <w:textAlignment w:val="auto"/>
        <w:rPr>
          <w:rFonts w:asciiTheme="minorEastAsia" w:hAnsiTheme="minorEastAsia"/>
          <w:color w:val="auto"/>
          <w:sz w:val="24"/>
          <w:szCs w:val="24"/>
          <w:lang w:eastAsia="zh-CN"/>
        </w:rPr>
      </w:pPr>
      <w:r>
        <w:rPr>
          <w:rFonts w:asciiTheme="minorEastAsia" w:hAnsiTheme="minorEastAsia"/>
          <w:color w:val="auto"/>
          <w:sz w:val="24"/>
          <w:szCs w:val="24"/>
          <w:lang w:eastAsia="zh-CN"/>
        </w:rPr>
        <w:br w:type="page"/>
      </w:r>
    </w:p>
    <w:p w14:paraId="17C9A78E">
      <w:pPr>
        <w:pStyle w:val="5"/>
        <w:numPr>
          <w:ilvl w:val="0"/>
          <w:numId w:val="3"/>
        </w:numPr>
        <w:spacing w:line="360" w:lineRule="auto"/>
        <w:jc w:val="center"/>
        <w:rPr>
          <w:rFonts w:hint="eastAsia"/>
          <w:color w:val="auto"/>
          <w:sz w:val="28"/>
          <w:szCs w:val="28"/>
          <w:lang w:eastAsia="zh-CN"/>
        </w:rPr>
      </w:pPr>
      <w:bookmarkStart w:id="5" w:name="_Toc2167"/>
      <w:r>
        <w:rPr>
          <w:color w:val="auto"/>
          <w:sz w:val="28"/>
          <w:szCs w:val="28"/>
          <w:lang w:eastAsia="zh-CN"/>
        </w:rPr>
        <w:t>合同</w:t>
      </w:r>
      <w:r>
        <w:rPr>
          <w:rFonts w:hint="eastAsia"/>
          <w:color w:val="auto"/>
          <w:sz w:val="28"/>
          <w:szCs w:val="28"/>
          <w:lang w:eastAsia="zh-CN"/>
        </w:rPr>
        <w:t>条款及格式（仅供参考）</w:t>
      </w:r>
      <w:bookmarkEnd w:id="5"/>
    </w:p>
    <w:p w14:paraId="77216A61">
      <w:pPr>
        <w:numPr>
          <w:ilvl w:val="0"/>
          <w:numId w:val="0"/>
        </w:numPr>
        <w:rPr>
          <w:color w:val="auto"/>
          <w:lang w:eastAsia="zh-CN"/>
        </w:rPr>
      </w:pPr>
    </w:p>
    <w:p w14:paraId="2F998823">
      <w:pPr>
        <w:pStyle w:val="19"/>
        <w:spacing w:before="0" w:beforeAutospacing="0" w:after="0" w:afterAutospacing="0" w:line="360" w:lineRule="auto"/>
        <w:jc w:val="both"/>
        <w:outlineLvl w:val="0"/>
        <w:rPr>
          <w:rFonts w:hint="eastAsia" w:ascii="宋体" w:hAnsi="宋体" w:eastAsia="宋体" w:cs="宋体"/>
          <w:b/>
          <w:color w:val="auto"/>
          <w:kern w:val="0"/>
          <w:sz w:val="24"/>
          <w:szCs w:val="24"/>
        </w:rPr>
      </w:pPr>
    </w:p>
    <w:p w14:paraId="0DE615CD">
      <w:pPr>
        <w:spacing w:line="55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（GF—2017—0201）</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 xml:space="preserve">                        合同编号：</w:t>
      </w:r>
    </w:p>
    <w:p w14:paraId="4BA836AA">
      <w:pPr>
        <w:spacing w:line="550" w:lineRule="exact"/>
        <w:jc w:val="center"/>
        <w:rPr>
          <w:rFonts w:hint="eastAsia" w:ascii="宋体" w:hAnsi="宋体" w:eastAsia="宋体" w:cs="宋体"/>
          <w:b/>
          <w:color w:val="auto"/>
          <w:sz w:val="24"/>
          <w:szCs w:val="24"/>
        </w:rPr>
      </w:pPr>
    </w:p>
    <w:p w14:paraId="3C762EB5">
      <w:pPr>
        <w:spacing w:line="550" w:lineRule="exact"/>
        <w:jc w:val="center"/>
        <w:rPr>
          <w:rFonts w:hint="eastAsia" w:ascii="宋体" w:hAnsi="宋体" w:eastAsia="宋体" w:cs="宋体"/>
          <w:b/>
          <w:color w:val="auto"/>
          <w:sz w:val="24"/>
          <w:szCs w:val="24"/>
        </w:rPr>
      </w:pPr>
    </w:p>
    <w:p w14:paraId="7B555F38">
      <w:pPr>
        <w:spacing w:line="550" w:lineRule="exact"/>
        <w:jc w:val="center"/>
        <w:rPr>
          <w:rFonts w:hint="eastAsia" w:ascii="宋体" w:hAnsi="宋体" w:eastAsia="宋体" w:cs="宋体"/>
          <w:b/>
          <w:color w:val="auto"/>
          <w:sz w:val="24"/>
          <w:szCs w:val="24"/>
        </w:rPr>
      </w:pPr>
    </w:p>
    <w:p w14:paraId="54F6C041">
      <w:pPr>
        <w:spacing w:line="550" w:lineRule="exact"/>
        <w:jc w:val="center"/>
        <w:rPr>
          <w:rFonts w:hint="eastAsia" w:ascii="宋体" w:hAnsi="宋体" w:eastAsia="宋体" w:cs="宋体"/>
          <w:b/>
          <w:color w:val="auto"/>
          <w:sz w:val="24"/>
          <w:szCs w:val="24"/>
        </w:rPr>
      </w:pPr>
    </w:p>
    <w:p w14:paraId="26D84D34">
      <w:pPr>
        <w:spacing w:line="550" w:lineRule="exact"/>
        <w:jc w:val="center"/>
        <w:rPr>
          <w:rFonts w:hint="eastAsia" w:ascii="宋体" w:hAnsi="宋体" w:eastAsia="宋体" w:cs="宋体"/>
          <w:b/>
          <w:color w:val="auto"/>
        </w:rPr>
      </w:pPr>
      <w:r>
        <w:rPr>
          <w:rFonts w:hint="eastAsia" w:ascii="宋体" w:hAnsi="宋体" w:eastAsia="宋体" w:cs="宋体"/>
          <w:b/>
          <w:color w:val="auto"/>
        </w:rPr>
        <w:t>建 设 工 程 施 工 合 同</w:t>
      </w:r>
    </w:p>
    <w:p w14:paraId="2EFD816E">
      <w:pPr>
        <w:spacing w:line="550" w:lineRule="exact"/>
        <w:jc w:val="center"/>
        <w:rPr>
          <w:rFonts w:hint="eastAsia" w:ascii="宋体" w:hAnsi="宋体" w:eastAsia="宋体" w:cs="宋体"/>
          <w:b/>
          <w:color w:val="auto"/>
          <w:sz w:val="24"/>
          <w:szCs w:val="24"/>
        </w:rPr>
      </w:pPr>
    </w:p>
    <w:p w14:paraId="3013E860">
      <w:pPr>
        <w:spacing w:line="550" w:lineRule="exact"/>
        <w:jc w:val="center"/>
        <w:rPr>
          <w:rFonts w:hint="eastAsia" w:ascii="宋体" w:hAnsi="宋体" w:eastAsia="宋体" w:cs="宋体"/>
          <w:b/>
          <w:color w:val="auto"/>
          <w:sz w:val="24"/>
          <w:szCs w:val="24"/>
        </w:rPr>
      </w:pPr>
    </w:p>
    <w:p w14:paraId="44CBB249">
      <w:pPr>
        <w:spacing w:line="550" w:lineRule="exact"/>
        <w:jc w:val="center"/>
        <w:rPr>
          <w:rFonts w:hint="eastAsia" w:ascii="宋体" w:hAnsi="宋体" w:eastAsia="宋体" w:cs="宋体"/>
          <w:b/>
          <w:color w:val="auto"/>
          <w:sz w:val="24"/>
          <w:szCs w:val="24"/>
        </w:rPr>
      </w:pPr>
    </w:p>
    <w:p w14:paraId="24ACD1B3">
      <w:pPr>
        <w:spacing w:line="550" w:lineRule="exact"/>
        <w:rPr>
          <w:rFonts w:hint="eastAsia" w:ascii="宋体" w:hAnsi="宋体" w:eastAsia="宋体" w:cs="宋体"/>
          <w:b/>
          <w:color w:val="auto"/>
          <w:sz w:val="24"/>
          <w:szCs w:val="24"/>
        </w:rPr>
      </w:pPr>
    </w:p>
    <w:p w14:paraId="6D0AD3DA">
      <w:pPr>
        <w:spacing w:line="550" w:lineRule="exact"/>
        <w:rPr>
          <w:rFonts w:hint="eastAsia" w:ascii="宋体" w:hAnsi="宋体" w:eastAsia="宋体" w:cs="宋体"/>
          <w:b/>
          <w:color w:val="auto"/>
          <w:sz w:val="24"/>
          <w:szCs w:val="24"/>
        </w:rPr>
      </w:pPr>
    </w:p>
    <w:p w14:paraId="4C33987F">
      <w:pPr>
        <w:spacing w:line="550" w:lineRule="exact"/>
        <w:rPr>
          <w:rFonts w:hint="eastAsia" w:ascii="宋体" w:hAnsi="宋体" w:eastAsia="宋体" w:cs="宋体"/>
          <w:b/>
          <w:color w:val="auto"/>
          <w:sz w:val="24"/>
          <w:szCs w:val="24"/>
        </w:rPr>
      </w:pPr>
    </w:p>
    <w:p w14:paraId="3224ABAB">
      <w:pPr>
        <w:spacing w:line="550" w:lineRule="exact"/>
        <w:rPr>
          <w:rFonts w:hint="eastAsia" w:ascii="宋体" w:hAnsi="宋体" w:eastAsia="宋体" w:cs="宋体"/>
          <w:b/>
          <w:color w:val="auto"/>
          <w:sz w:val="24"/>
          <w:szCs w:val="24"/>
        </w:rPr>
      </w:pPr>
    </w:p>
    <w:p w14:paraId="3B080F43">
      <w:pPr>
        <w:spacing w:line="550" w:lineRule="exact"/>
        <w:rPr>
          <w:rFonts w:hint="eastAsia" w:ascii="宋体" w:hAnsi="宋体" w:eastAsia="宋体" w:cs="宋体"/>
          <w:b/>
          <w:color w:val="auto"/>
          <w:sz w:val="24"/>
          <w:szCs w:val="24"/>
        </w:rPr>
      </w:pPr>
    </w:p>
    <w:p w14:paraId="78765163">
      <w:pPr>
        <w:spacing w:line="550" w:lineRule="exact"/>
        <w:rPr>
          <w:rFonts w:hint="eastAsia" w:ascii="宋体" w:hAnsi="宋体" w:eastAsia="宋体" w:cs="宋体"/>
          <w:b/>
          <w:color w:val="auto"/>
          <w:sz w:val="24"/>
          <w:szCs w:val="24"/>
        </w:rPr>
      </w:pPr>
    </w:p>
    <w:p w14:paraId="386B98CD">
      <w:pPr>
        <w:spacing w:line="550" w:lineRule="exact"/>
        <w:rPr>
          <w:rFonts w:hint="eastAsia" w:ascii="宋体" w:hAnsi="宋体" w:eastAsia="宋体" w:cs="宋体"/>
          <w:b/>
          <w:color w:val="auto"/>
          <w:sz w:val="24"/>
          <w:szCs w:val="24"/>
        </w:rPr>
      </w:pPr>
    </w:p>
    <w:p w14:paraId="3E4F340C">
      <w:pPr>
        <w:spacing w:line="550" w:lineRule="exact"/>
        <w:rPr>
          <w:rFonts w:hint="eastAsia" w:ascii="宋体" w:hAnsi="宋体" w:eastAsia="宋体" w:cs="宋体"/>
          <w:b/>
          <w:color w:val="auto"/>
          <w:sz w:val="24"/>
          <w:szCs w:val="24"/>
        </w:rPr>
      </w:pPr>
    </w:p>
    <w:p w14:paraId="05F3150C">
      <w:pPr>
        <w:spacing w:line="550" w:lineRule="exact"/>
        <w:ind w:right="2719" w:firstLine="2738"/>
        <w:jc w:val="distribute"/>
        <w:rPr>
          <w:rFonts w:hint="eastAsia" w:ascii="宋体" w:hAnsi="宋体" w:eastAsia="宋体" w:cs="宋体"/>
          <w:b/>
          <w:color w:val="auto"/>
          <w:sz w:val="24"/>
          <w:szCs w:val="24"/>
        </w:rPr>
      </w:pPr>
      <w:r>
        <w:rPr>
          <w:rFonts w:hint="eastAsia" w:ascii="宋体" w:hAnsi="宋体" w:eastAsia="宋体" w:cs="宋体"/>
          <w:color w:val="auto"/>
          <w:sz w:val="24"/>
          <w:szCs w:val="24"/>
        </w:rPr>
        <w:pict>
          <v:rect id="_x0000_s1027" o:spid="_x0000_s1027" o:spt="1" style="position:absolute;left:0pt;margin-left:341.7pt;margin-top:9.45pt;height:36pt;width:57pt;z-index:251659264;mso-width-relative:margin;mso-height-relative:margin;" filled="f" stroked="t" coordsize="21600,21600">
            <v:path/>
            <v:fill on="f" focussize="0,0"/>
            <v:stroke color="#FFFFFF" joinstyle="round"/>
            <v:imagedata o:title=""/>
            <o:lock v:ext="edit"/>
            <v:textbox>
              <w:txbxContent>
                <w:p w14:paraId="152FB508">
                  <w:pPr>
                    <w:rPr>
                      <w:rFonts w:hint="eastAsia"/>
                      <w:b/>
                    </w:rPr>
                  </w:pPr>
                  <w:r>
                    <w:rPr>
                      <w:rFonts w:hint="eastAsia"/>
                      <w:b/>
                    </w:rPr>
                    <w:t>制定</w:t>
                  </w:r>
                </w:p>
              </w:txbxContent>
            </v:textbox>
          </v:rect>
        </w:pict>
      </w:r>
      <w:r>
        <w:rPr>
          <w:rFonts w:hint="eastAsia" w:ascii="宋体" w:hAnsi="宋体" w:eastAsia="宋体" w:cs="宋体"/>
          <w:b/>
          <w:color w:val="auto"/>
          <w:sz w:val="24"/>
          <w:szCs w:val="24"/>
        </w:rPr>
        <w:t>住房城乡建设部</w:t>
      </w:r>
    </w:p>
    <w:p w14:paraId="5FE7C43E">
      <w:pPr>
        <w:spacing w:line="550" w:lineRule="exact"/>
        <w:ind w:right="2719" w:firstLine="2750"/>
        <w:jc w:val="distribute"/>
        <w:rPr>
          <w:rFonts w:hint="eastAsia" w:ascii="宋体" w:hAnsi="宋体" w:eastAsia="宋体" w:cs="宋体"/>
          <w:b/>
          <w:color w:val="auto"/>
          <w:sz w:val="24"/>
          <w:szCs w:val="24"/>
        </w:rPr>
      </w:pPr>
      <w:r>
        <w:rPr>
          <w:rFonts w:hint="eastAsia" w:ascii="宋体" w:hAnsi="宋体" w:eastAsia="宋体" w:cs="宋体"/>
          <w:b/>
          <w:color w:val="auto"/>
          <w:sz w:val="24"/>
          <w:szCs w:val="24"/>
        </w:rPr>
        <w:t>国家工商行政管理总局</w:t>
      </w:r>
    </w:p>
    <w:p w14:paraId="6974E94F">
      <w:pPr>
        <w:keepNext/>
        <w:keepLines/>
        <w:spacing w:line="55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p>
    <w:p w14:paraId="3425E23A">
      <w:pPr>
        <w:keepNext/>
        <w:keepLines/>
        <w:spacing w:line="550" w:lineRule="exact"/>
        <w:rPr>
          <w:rFonts w:hint="eastAsia" w:ascii="宋体" w:hAnsi="宋体" w:eastAsia="宋体" w:cs="宋体"/>
          <w:b/>
          <w:color w:val="auto"/>
          <w:sz w:val="24"/>
          <w:szCs w:val="24"/>
        </w:rPr>
      </w:pPr>
    </w:p>
    <w:p w14:paraId="64399666">
      <w:pPr>
        <w:keepNext/>
        <w:keepLines/>
        <w:spacing w:line="550" w:lineRule="exact"/>
        <w:jc w:val="center"/>
        <w:rPr>
          <w:rFonts w:hint="eastAsia" w:ascii="宋体" w:hAnsi="宋体" w:eastAsia="宋体" w:cs="宋体"/>
          <w:color w:val="auto"/>
          <w:sz w:val="24"/>
          <w:szCs w:val="24"/>
        </w:rPr>
      </w:pPr>
      <w:r>
        <w:rPr>
          <w:rFonts w:hint="eastAsia" w:ascii="宋体" w:hAnsi="宋体" w:eastAsia="宋体" w:cs="宋体"/>
          <w:b/>
          <w:color w:val="auto"/>
          <w:sz w:val="24"/>
          <w:szCs w:val="24"/>
        </w:rPr>
        <w:br w:type="page"/>
      </w:r>
      <w:r>
        <w:rPr>
          <w:rFonts w:hint="eastAsia" w:ascii="宋体" w:hAnsi="宋体" w:eastAsia="宋体" w:cs="宋体"/>
          <w:b/>
          <w:color w:val="auto"/>
          <w:sz w:val="24"/>
          <w:szCs w:val="24"/>
        </w:rPr>
        <w:t>合同协议书</w:t>
      </w:r>
    </w:p>
    <w:p w14:paraId="1323CF9C">
      <w:pPr>
        <w:spacing w:line="550" w:lineRule="exact"/>
        <w:rPr>
          <w:rFonts w:hint="eastAsia" w:ascii="宋体" w:hAnsi="宋体" w:eastAsia="宋体" w:cs="宋体"/>
          <w:b/>
          <w:color w:val="auto"/>
          <w:sz w:val="24"/>
          <w:szCs w:val="24"/>
          <w:u w:val="single"/>
        </w:rPr>
      </w:pPr>
      <w:r>
        <w:rPr>
          <w:rFonts w:hint="eastAsia" w:ascii="宋体" w:hAnsi="宋体" w:eastAsia="宋体" w:cs="宋体"/>
          <w:b/>
          <w:color w:val="auto"/>
          <w:sz w:val="24"/>
          <w:szCs w:val="24"/>
        </w:rPr>
        <w:t>发包人（全称）：</w:t>
      </w:r>
      <w:r>
        <w:rPr>
          <w:rFonts w:hint="eastAsia" w:ascii="宋体" w:hAnsi="宋体" w:eastAsia="宋体" w:cs="宋体"/>
          <w:b/>
          <w:color w:val="auto"/>
          <w:sz w:val="24"/>
          <w:szCs w:val="24"/>
          <w:u w:val="single"/>
        </w:rPr>
        <w:t xml:space="preserve">               </w:t>
      </w:r>
    </w:p>
    <w:p w14:paraId="553346A6">
      <w:pPr>
        <w:spacing w:line="550" w:lineRule="exact"/>
        <w:rPr>
          <w:rFonts w:hint="eastAsia" w:ascii="宋体" w:hAnsi="宋体" w:eastAsia="宋体" w:cs="宋体"/>
          <w:b/>
          <w:color w:val="auto"/>
          <w:sz w:val="24"/>
          <w:szCs w:val="24"/>
          <w:u w:val="single"/>
        </w:rPr>
      </w:pPr>
      <w:r>
        <w:rPr>
          <w:rFonts w:hint="eastAsia" w:ascii="宋体" w:hAnsi="宋体" w:eastAsia="宋体" w:cs="宋体"/>
          <w:b/>
          <w:color w:val="auto"/>
          <w:sz w:val="24"/>
          <w:szCs w:val="24"/>
        </w:rPr>
        <w:t>承包人（全称）：</w:t>
      </w:r>
      <w:r>
        <w:rPr>
          <w:rFonts w:hint="eastAsia" w:ascii="宋体" w:hAnsi="宋体" w:eastAsia="宋体" w:cs="宋体"/>
          <w:b/>
          <w:color w:val="auto"/>
          <w:sz w:val="24"/>
          <w:szCs w:val="24"/>
          <w:u w:val="single"/>
        </w:rPr>
        <w:t xml:space="preserve">               </w:t>
      </w:r>
    </w:p>
    <w:p w14:paraId="3A554E5F">
      <w:pPr>
        <w:spacing w:line="550" w:lineRule="exact"/>
        <w:rPr>
          <w:rFonts w:hint="eastAsia" w:ascii="宋体" w:hAnsi="宋体" w:eastAsia="宋体" w:cs="宋体"/>
          <w:b/>
          <w:color w:val="auto"/>
          <w:sz w:val="24"/>
          <w:szCs w:val="24"/>
          <w:u w:val="single"/>
        </w:rPr>
      </w:pPr>
    </w:p>
    <w:p w14:paraId="6FBEB9A0">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根据《中华人民共和国民法典》、《中华人民共和国建筑法》及有关法律规定，遵循平等、自愿、公平和诚实信用的原则，双方就</w:t>
      </w:r>
      <w:r>
        <w:rPr>
          <w:rFonts w:hint="eastAsia" w:ascii="宋体" w:hAnsi="宋体" w:eastAsia="宋体" w:cs="宋体"/>
          <w:color w:val="auto"/>
          <w:sz w:val="24"/>
          <w:szCs w:val="24"/>
          <w:u w:val="single"/>
          <w:lang w:eastAsia="zh-CN"/>
        </w:rPr>
        <w:t xml:space="preserve">（项目名称）   </w:t>
      </w:r>
      <w:r>
        <w:rPr>
          <w:rFonts w:hint="eastAsia" w:ascii="宋体" w:hAnsi="宋体" w:eastAsia="宋体" w:cs="宋体"/>
          <w:color w:val="auto"/>
          <w:sz w:val="24"/>
          <w:szCs w:val="24"/>
        </w:rPr>
        <w:t>工程施工及有关事项协商一致，共同达成如下协议：</w:t>
      </w:r>
    </w:p>
    <w:p w14:paraId="757FDA56">
      <w:pPr>
        <w:keepNext/>
        <w:keepLines/>
        <w:spacing w:before="120" w:after="120"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 xml:space="preserve"> 一、工程概况</w:t>
      </w:r>
    </w:p>
    <w:p w14:paraId="5F9526A1">
      <w:pPr>
        <w:spacing w:line="360" w:lineRule="auto"/>
        <w:ind w:firstLine="548"/>
        <w:rPr>
          <w:rFonts w:hint="eastAsia" w:ascii="宋体" w:hAnsi="宋体" w:eastAsia="宋体" w:cs="宋体"/>
          <w:color w:val="auto"/>
          <w:sz w:val="24"/>
          <w:szCs w:val="24"/>
        </w:rPr>
      </w:pPr>
      <w:r>
        <w:rPr>
          <w:rFonts w:hint="eastAsia" w:ascii="宋体" w:hAnsi="宋体" w:eastAsia="宋体" w:cs="宋体"/>
          <w:color w:val="auto"/>
          <w:sz w:val="24"/>
          <w:szCs w:val="24"/>
        </w:rPr>
        <w:t>1.工程名称：</w:t>
      </w:r>
      <w:r>
        <w:rPr>
          <w:rFonts w:hint="eastAsia" w:ascii="宋体" w:hAnsi="宋体" w:eastAsia="宋体" w:cs="宋体"/>
          <w:color w:val="auto"/>
          <w:sz w:val="24"/>
          <w:szCs w:val="24"/>
          <w:u w:val="single"/>
          <w:lang w:eastAsia="zh-CN"/>
        </w:rPr>
        <w:t xml:space="preserve">（项目名称） </w:t>
      </w:r>
      <w:r>
        <w:rPr>
          <w:rFonts w:hint="eastAsia" w:ascii="宋体" w:hAnsi="宋体" w:eastAsia="宋体" w:cs="宋体"/>
          <w:color w:val="auto"/>
          <w:sz w:val="24"/>
          <w:szCs w:val="24"/>
        </w:rPr>
        <w:t>。</w:t>
      </w:r>
    </w:p>
    <w:p w14:paraId="745B0050">
      <w:pPr>
        <w:spacing w:line="360" w:lineRule="auto"/>
        <w:ind w:firstLine="548"/>
        <w:rPr>
          <w:rFonts w:hint="eastAsia" w:ascii="宋体" w:hAnsi="宋体" w:eastAsia="宋体" w:cs="宋体"/>
          <w:color w:val="auto"/>
          <w:sz w:val="24"/>
          <w:szCs w:val="24"/>
        </w:rPr>
      </w:pPr>
      <w:r>
        <w:rPr>
          <w:rFonts w:hint="eastAsia" w:ascii="宋体" w:hAnsi="宋体" w:eastAsia="宋体" w:cs="宋体"/>
          <w:color w:val="auto"/>
          <w:sz w:val="24"/>
          <w:szCs w:val="24"/>
        </w:rPr>
        <w:t>2.工程地点：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36BB6C">
      <w:pPr>
        <w:spacing w:line="360" w:lineRule="auto"/>
        <w:ind w:firstLine="548"/>
        <w:rPr>
          <w:rFonts w:hint="eastAsia" w:ascii="宋体" w:hAnsi="宋体" w:eastAsia="宋体" w:cs="宋体"/>
          <w:color w:val="auto"/>
          <w:sz w:val="24"/>
          <w:szCs w:val="24"/>
        </w:rPr>
      </w:pPr>
      <w:r>
        <w:rPr>
          <w:rFonts w:hint="eastAsia" w:ascii="宋体" w:hAnsi="宋体" w:eastAsia="宋体" w:cs="宋体"/>
          <w:color w:val="auto"/>
          <w:sz w:val="24"/>
          <w:szCs w:val="24"/>
        </w:rPr>
        <w:t>3.工程立项批准文号：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w:t>
      </w:r>
    </w:p>
    <w:p w14:paraId="54307ADB">
      <w:pPr>
        <w:spacing w:line="360" w:lineRule="auto"/>
        <w:ind w:firstLine="548"/>
        <w:rPr>
          <w:rFonts w:hint="eastAsia" w:ascii="宋体" w:hAnsi="宋体" w:eastAsia="宋体" w:cs="宋体"/>
          <w:color w:val="auto"/>
          <w:sz w:val="24"/>
          <w:szCs w:val="24"/>
        </w:rPr>
      </w:pPr>
      <w:r>
        <w:rPr>
          <w:rFonts w:hint="eastAsia" w:ascii="宋体" w:hAnsi="宋体" w:eastAsia="宋体" w:cs="宋体"/>
          <w:color w:val="auto"/>
          <w:sz w:val="24"/>
          <w:szCs w:val="24"/>
        </w:rPr>
        <w:t>4.资金来源：</w:t>
      </w:r>
      <w:r>
        <w:rPr>
          <w:rFonts w:hint="eastAsia" w:ascii="宋体" w:hAnsi="宋体" w:eastAsia="宋体" w:cs="宋体"/>
          <w:color w:val="auto"/>
          <w:sz w:val="24"/>
          <w:szCs w:val="24"/>
          <w:u w:val="single"/>
        </w:rPr>
        <w:t xml:space="preserve">财政资金 </w:t>
      </w:r>
      <w:r>
        <w:rPr>
          <w:rFonts w:hint="eastAsia" w:ascii="宋体" w:hAnsi="宋体" w:eastAsia="宋体" w:cs="宋体"/>
          <w:color w:val="auto"/>
          <w:sz w:val="24"/>
          <w:szCs w:val="24"/>
        </w:rPr>
        <w:t>。</w:t>
      </w:r>
    </w:p>
    <w:p w14:paraId="3B4A2EF8">
      <w:pPr>
        <w:spacing w:line="360" w:lineRule="auto"/>
        <w:ind w:firstLine="548"/>
        <w:rPr>
          <w:rFonts w:hint="eastAsia" w:ascii="宋体" w:hAnsi="宋体" w:eastAsia="宋体" w:cs="宋体"/>
          <w:color w:val="auto"/>
          <w:sz w:val="24"/>
          <w:szCs w:val="24"/>
        </w:rPr>
      </w:pPr>
      <w:r>
        <w:rPr>
          <w:rFonts w:hint="eastAsia" w:ascii="宋体" w:hAnsi="宋体" w:eastAsia="宋体" w:cs="宋体"/>
          <w:color w:val="auto"/>
          <w:sz w:val="24"/>
          <w:szCs w:val="24"/>
        </w:rPr>
        <w:t>5.工程内容：</w:t>
      </w:r>
      <w:r>
        <w:rPr>
          <w:rFonts w:hint="eastAsia" w:asciiTheme="minorEastAsia" w:hAnsiTheme="minorEastAsia"/>
          <w:color w:val="auto"/>
          <w:kern w:val="2"/>
          <w:sz w:val="24"/>
          <w:szCs w:val="24"/>
          <w:u w:val="single"/>
          <w:lang w:val="en-US" w:eastAsia="zh-CN"/>
        </w:rPr>
        <w:t xml:space="preserve">        </w:t>
      </w:r>
      <w:r>
        <w:rPr>
          <w:rFonts w:hint="eastAsia" w:asciiTheme="minorEastAsia" w:hAnsiTheme="minorEastAsia"/>
          <w:color w:val="auto"/>
          <w:kern w:val="2"/>
          <w:sz w:val="24"/>
          <w:szCs w:val="24"/>
          <w:lang w:val="en-US" w:eastAsia="zh-CN"/>
        </w:rPr>
        <w:t>市</w:t>
      </w:r>
      <w:r>
        <w:rPr>
          <w:rFonts w:hint="eastAsia" w:asciiTheme="minorEastAsia" w:hAnsiTheme="minorEastAsia"/>
          <w:color w:val="auto"/>
          <w:kern w:val="2"/>
          <w:sz w:val="24"/>
          <w:szCs w:val="24"/>
          <w:u w:val="single"/>
          <w:lang w:val="en-US" w:eastAsia="zh-CN"/>
        </w:rPr>
        <w:t>（改造实体店数）</w:t>
      </w:r>
      <w:r>
        <w:rPr>
          <w:rFonts w:hint="eastAsia" w:asciiTheme="minorEastAsia" w:hAnsiTheme="minorEastAsia"/>
          <w:color w:val="auto"/>
          <w:kern w:val="2"/>
          <w:sz w:val="24"/>
          <w:szCs w:val="24"/>
          <w:lang w:val="en-US" w:eastAsia="zh-CN"/>
        </w:rPr>
        <w:t>家</w:t>
      </w:r>
      <w:r>
        <w:rPr>
          <w:rFonts w:hint="eastAsia" w:ascii="宋体" w:hAnsi="宋体" w:eastAsia="宋体" w:cs="宋体"/>
          <w:color w:val="auto"/>
          <w:spacing w:val="-5"/>
          <w:sz w:val="24"/>
          <w:szCs w:val="24"/>
          <w:u w:val="none"/>
          <w:lang w:val="en-US" w:eastAsia="zh-CN"/>
        </w:rPr>
        <w:t>体育彩票专营实体店，</w:t>
      </w:r>
      <w:r>
        <w:rPr>
          <w:rFonts w:hint="eastAsia" w:ascii="宋体" w:hAnsi="宋体" w:eastAsia="宋体" w:cs="宋体"/>
          <w:color w:val="auto"/>
          <w:spacing w:val="-5"/>
          <w:sz w:val="24"/>
          <w:szCs w:val="24"/>
          <w:u w:val="single"/>
          <w:lang w:val="en-US" w:eastAsia="zh-CN"/>
        </w:rPr>
        <w:t>（总平方数）</w:t>
      </w:r>
      <w:r>
        <w:rPr>
          <w:rFonts w:hint="eastAsia" w:ascii="宋体" w:hAnsi="宋体" w:eastAsia="宋体" w:cs="宋体"/>
          <w:color w:val="auto"/>
          <w:spacing w:val="-5"/>
          <w:sz w:val="24"/>
          <w:szCs w:val="24"/>
          <w:u w:val="none"/>
          <w:lang w:val="en-US" w:eastAsia="zh-CN"/>
        </w:rPr>
        <w:t>平方米的店招制作与安装</w:t>
      </w:r>
      <w:r>
        <w:rPr>
          <w:rFonts w:hint="eastAsia" w:asciiTheme="minorEastAsia" w:hAnsiTheme="minorEastAsia"/>
          <w:color w:val="auto"/>
          <w:kern w:val="2"/>
          <w:sz w:val="24"/>
          <w:szCs w:val="24"/>
          <w:lang w:eastAsia="zh-CN"/>
        </w:rPr>
        <w:t>，包含磋商文件、图纸、清单、答疑澄清及补充文件所包括的全部内容。</w:t>
      </w:r>
    </w:p>
    <w:p w14:paraId="74F1EF39">
      <w:pPr>
        <w:spacing w:line="360" w:lineRule="auto"/>
        <w:ind w:firstLine="548"/>
        <w:rPr>
          <w:rFonts w:hint="eastAsia" w:ascii="宋体" w:hAnsi="宋体" w:eastAsia="宋体" w:cs="宋体"/>
          <w:color w:val="auto"/>
          <w:sz w:val="24"/>
          <w:szCs w:val="24"/>
        </w:rPr>
      </w:pPr>
      <w:r>
        <w:rPr>
          <w:rFonts w:hint="eastAsia" w:ascii="宋体" w:hAnsi="宋体" w:eastAsia="宋体" w:cs="宋体"/>
          <w:color w:val="auto"/>
          <w:sz w:val="24"/>
          <w:szCs w:val="24"/>
        </w:rPr>
        <w:t>6.工程承包范围：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D861A7">
      <w:pPr>
        <w:keepNext/>
        <w:keepLines/>
        <w:spacing w:before="120" w:after="12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二、合同工期</w:t>
      </w:r>
    </w:p>
    <w:p w14:paraId="56E6187D">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r>
        <w:rPr>
          <w:rFonts w:hint="eastAsia" w:ascii="宋体" w:hAnsi="宋体" w:eastAsia="宋体" w:cs="宋体"/>
          <w:color w:val="auto"/>
          <w:sz w:val="24"/>
          <w:szCs w:val="24"/>
          <w:u w:val="single"/>
        </w:rPr>
        <w:t>202</w:t>
      </w:r>
      <w:r>
        <w:rPr>
          <w:rFonts w:hint="eastAsia" w:ascii="宋体" w:hAnsi="宋体" w:eastAsia="宋体" w:cs="宋体"/>
          <w:color w:val="auto"/>
          <w:sz w:val="24"/>
          <w:szCs w:val="24"/>
          <w:u w:val="single"/>
          <w:lang w:val="en-US"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59CBAD46">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r>
        <w:rPr>
          <w:rFonts w:hint="eastAsia" w:ascii="宋体" w:hAnsi="宋体" w:eastAsia="宋体" w:cs="宋体"/>
          <w:color w:val="auto"/>
          <w:sz w:val="24"/>
          <w:szCs w:val="24"/>
          <w:u w:val="single"/>
        </w:rPr>
        <w:t>20</w:t>
      </w:r>
      <w:r>
        <w:rPr>
          <w:rFonts w:hint="eastAsia" w:ascii="宋体" w:hAnsi="宋体" w:eastAsia="宋体" w:cs="宋体"/>
          <w:color w:val="auto"/>
          <w:sz w:val="24"/>
          <w:szCs w:val="24"/>
          <w:u w:val="single"/>
          <w:lang w:val="en-US" w:eastAsia="zh-CN"/>
        </w:rPr>
        <w:t>24</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3F6B2EF1">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工期总日历天数：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天。工期总日历天数与根据前述计划开竣工日期计算的工期天数不一致的，以工期总日历天数为准。</w:t>
      </w:r>
    </w:p>
    <w:p w14:paraId="62E9C1E5">
      <w:pPr>
        <w:keepNext/>
        <w:keepLines/>
        <w:spacing w:before="120" w:after="120"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三、质量标准</w:t>
      </w:r>
    </w:p>
    <w:p w14:paraId="78720411">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工程质量符合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标准。</w:t>
      </w:r>
    </w:p>
    <w:p w14:paraId="0CF9A3CF">
      <w:pPr>
        <w:keepNext/>
        <w:keepLines/>
        <w:spacing w:before="120" w:after="120"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 xml:space="preserve"> 四、签约合同价与合同价格形式</w:t>
      </w:r>
      <w:r>
        <w:rPr>
          <w:rFonts w:hint="eastAsia" w:ascii="宋体" w:hAnsi="宋体" w:eastAsia="宋体" w:cs="宋体"/>
          <w:color w:val="auto"/>
          <w:sz w:val="24"/>
          <w:szCs w:val="24"/>
        </w:rPr>
        <w:tab/>
      </w:r>
    </w:p>
    <w:p w14:paraId="176DF124">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1.签约合同价（含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%增值税）为：</w:t>
      </w:r>
    </w:p>
    <w:p w14:paraId="240B859E">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总价：</w:t>
      </w: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02F7C070">
      <w:pPr>
        <w:spacing w:line="360" w:lineRule="auto"/>
        <w:ind w:firstLine="560"/>
        <w:rPr>
          <w:rFonts w:hint="default" w:eastAsia="宋体"/>
          <w:lang w:val="en-US" w:eastAsia="zh-CN"/>
        </w:rPr>
      </w:pPr>
      <w:r>
        <w:rPr>
          <w:rFonts w:hint="eastAsia" w:ascii="宋体" w:hAnsi="宋体" w:eastAsia="宋体" w:cs="宋体"/>
          <w:color w:val="auto"/>
          <w:sz w:val="24"/>
          <w:szCs w:val="24"/>
          <w:lang w:val="en-US" w:eastAsia="zh-CN"/>
        </w:rPr>
        <w:t>平方单价：</w:t>
      </w: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eastAsia="zh-CN"/>
        </w:rPr>
        <w:t>。</w:t>
      </w:r>
    </w:p>
    <w:p w14:paraId="243759CD">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2.合同价格形式：</w:t>
      </w:r>
      <w:r>
        <w:rPr>
          <w:rFonts w:hint="eastAsia" w:ascii="宋体" w:hAnsi="宋体" w:eastAsia="宋体" w:cs="宋体"/>
          <w:color w:val="auto"/>
          <w:sz w:val="24"/>
          <w:szCs w:val="24"/>
          <w:u w:val="single"/>
        </w:rPr>
        <w:t>总价合同</w:t>
      </w:r>
      <w:r>
        <w:rPr>
          <w:rFonts w:hint="eastAsia" w:ascii="宋体" w:hAnsi="宋体" w:eastAsia="宋体" w:cs="宋体"/>
          <w:color w:val="auto"/>
          <w:sz w:val="24"/>
          <w:szCs w:val="24"/>
          <w:u w:val="single"/>
          <w:lang w:val="en-US" w:eastAsia="zh-CN"/>
        </w:rPr>
        <w:t>及平方单价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600CC13">
      <w:pPr>
        <w:keepNext/>
        <w:keepLines/>
        <w:spacing w:before="120" w:after="120"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 xml:space="preserve"> 五、项目经理</w:t>
      </w:r>
    </w:p>
    <w:p w14:paraId="0A76786B">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承包人项目经理：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880E138">
      <w:pPr>
        <w:keepNext/>
        <w:keepLines/>
        <w:spacing w:before="120" w:after="120"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 xml:space="preserve"> 六、合同文件构成</w:t>
      </w:r>
    </w:p>
    <w:p w14:paraId="35716BA2">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本协议书与下列文件一起构成合同文件：</w:t>
      </w:r>
    </w:p>
    <w:p w14:paraId="2EC5A1BC">
      <w:pPr>
        <w:autoSpaceDE w:val="0"/>
        <w:autoSpaceDN w:val="0"/>
        <w:spacing w:line="360" w:lineRule="auto"/>
        <w:ind w:firstLine="560"/>
        <w:jc w:val="left"/>
        <w:rPr>
          <w:rFonts w:hint="eastAsia" w:ascii="宋体" w:hAnsi="宋体" w:eastAsia="宋体" w:cs="宋体"/>
          <w:color w:val="auto"/>
          <w:sz w:val="24"/>
          <w:szCs w:val="24"/>
        </w:rPr>
      </w:pPr>
      <w:r>
        <w:rPr>
          <w:rFonts w:hint="eastAsia" w:ascii="宋体" w:hAnsi="宋体" w:eastAsia="宋体" w:cs="宋体"/>
          <w:color w:val="auto"/>
          <w:sz w:val="24"/>
          <w:szCs w:val="24"/>
        </w:rPr>
        <w:t>（1）中标通知书（如果有）；</w:t>
      </w:r>
    </w:p>
    <w:p w14:paraId="56EF1577">
      <w:pPr>
        <w:autoSpaceDE w:val="0"/>
        <w:autoSpaceDN w:val="0"/>
        <w:spacing w:line="360" w:lineRule="auto"/>
        <w:ind w:firstLine="56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（2）投标函及其附录（如果有）； </w:t>
      </w:r>
    </w:p>
    <w:p w14:paraId="42395584">
      <w:pPr>
        <w:autoSpaceDE w:val="0"/>
        <w:autoSpaceDN w:val="0"/>
        <w:spacing w:line="360" w:lineRule="auto"/>
        <w:ind w:firstLine="560"/>
        <w:jc w:val="left"/>
        <w:rPr>
          <w:rFonts w:hint="eastAsia" w:ascii="宋体" w:hAnsi="宋体" w:eastAsia="宋体" w:cs="宋体"/>
          <w:color w:val="auto"/>
          <w:sz w:val="24"/>
          <w:szCs w:val="24"/>
        </w:rPr>
      </w:pPr>
      <w:r>
        <w:rPr>
          <w:rFonts w:hint="eastAsia" w:ascii="宋体" w:hAnsi="宋体" w:eastAsia="宋体" w:cs="宋体"/>
          <w:color w:val="auto"/>
          <w:sz w:val="24"/>
          <w:szCs w:val="24"/>
        </w:rPr>
        <w:t>（3）专用合同条款及其附件；</w:t>
      </w:r>
    </w:p>
    <w:p w14:paraId="1F57343E">
      <w:pPr>
        <w:autoSpaceDE w:val="0"/>
        <w:autoSpaceDN w:val="0"/>
        <w:spacing w:line="360" w:lineRule="auto"/>
        <w:ind w:firstLine="560"/>
        <w:jc w:val="left"/>
        <w:rPr>
          <w:rFonts w:hint="eastAsia" w:ascii="宋体" w:hAnsi="宋体" w:eastAsia="宋体" w:cs="宋体"/>
          <w:color w:val="auto"/>
          <w:sz w:val="24"/>
          <w:szCs w:val="24"/>
        </w:rPr>
      </w:pPr>
      <w:r>
        <w:rPr>
          <w:rFonts w:hint="eastAsia" w:ascii="宋体" w:hAnsi="宋体" w:eastAsia="宋体" w:cs="宋体"/>
          <w:color w:val="auto"/>
          <w:sz w:val="24"/>
          <w:szCs w:val="24"/>
        </w:rPr>
        <w:t>（4）通用合同条款；</w:t>
      </w:r>
    </w:p>
    <w:p w14:paraId="639A6098">
      <w:pPr>
        <w:autoSpaceDE w:val="0"/>
        <w:autoSpaceDN w:val="0"/>
        <w:spacing w:line="360" w:lineRule="auto"/>
        <w:ind w:firstLine="560"/>
        <w:jc w:val="left"/>
        <w:rPr>
          <w:rFonts w:hint="eastAsia" w:ascii="宋体" w:hAnsi="宋体" w:eastAsia="宋体" w:cs="宋体"/>
          <w:color w:val="auto"/>
          <w:sz w:val="24"/>
          <w:szCs w:val="24"/>
        </w:rPr>
      </w:pPr>
      <w:r>
        <w:rPr>
          <w:rFonts w:hint="eastAsia" w:ascii="宋体" w:hAnsi="宋体" w:eastAsia="宋体" w:cs="宋体"/>
          <w:color w:val="auto"/>
          <w:sz w:val="24"/>
          <w:szCs w:val="24"/>
        </w:rPr>
        <w:t>（5）技术标准和要求；</w:t>
      </w:r>
    </w:p>
    <w:p w14:paraId="398EF31C">
      <w:pPr>
        <w:autoSpaceDE w:val="0"/>
        <w:autoSpaceDN w:val="0"/>
        <w:spacing w:line="360" w:lineRule="auto"/>
        <w:ind w:firstLine="560"/>
        <w:jc w:val="left"/>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）已标价预算书；</w:t>
      </w:r>
    </w:p>
    <w:p w14:paraId="233AA96B">
      <w:pPr>
        <w:autoSpaceDE w:val="0"/>
        <w:autoSpaceDN w:val="0"/>
        <w:spacing w:line="360" w:lineRule="auto"/>
        <w:ind w:firstLine="560"/>
        <w:jc w:val="left"/>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）其他合同文件。</w:t>
      </w:r>
    </w:p>
    <w:p w14:paraId="1BAF0317">
      <w:pPr>
        <w:autoSpaceDE w:val="0"/>
        <w:autoSpaceDN w:val="0"/>
        <w:spacing w:line="360" w:lineRule="auto"/>
        <w:ind w:firstLine="560"/>
        <w:jc w:val="left"/>
        <w:rPr>
          <w:rFonts w:hint="eastAsia" w:ascii="宋体" w:hAnsi="宋体" w:eastAsia="宋体" w:cs="宋体"/>
          <w:color w:val="auto"/>
          <w:sz w:val="24"/>
          <w:szCs w:val="24"/>
        </w:rPr>
      </w:pPr>
      <w:r>
        <w:rPr>
          <w:rFonts w:hint="eastAsia" w:ascii="宋体" w:hAnsi="宋体" w:eastAsia="宋体" w:cs="宋体"/>
          <w:color w:val="auto"/>
          <w:sz w:val="24"/>
          <w:szCs w:val="24"/>
        </w:rPr>
        <w:t>在合同订立及履行过程中形成的与合同有关的文件均构成合同文件组成部分。</w:t>
      </w:r>
    </w:p>
    <w:p w14:paraId="461F1A93">
      <w:pPr>
        <w:autoSpaceDE w:val="0"/>
        <w:autoSpaceDN w:val="0"/>
        <w:spacing w:line="360" w:lineRule="auto"/>
        <w:ind w:firstLine="560"/>
        <w:jc w:val="left"/>
        <w:rPr>
          <w:rFonts w:hint="eastAsia" w:ascii="宋体" w:hAnsi="宋体" w:eastAsia="宋体" w:cs="宋体"/>
          <w:color w:val="auto"/>
          <w:sz w:val="24"/>
          <w:szCs w:val="24"/>
        </w:rPr>
      </w:pPr>
      <w:r>
        <w:rPr>
          <w:rFonts w:hint="eastAsia" w:ascii="宋体" w:hAnsi="宋体" w:eastAsia="宋体" w:cs="宋体"/>
          <w:color w:val="auto"/>
          <w:sz w:val="24"/>
          <w:szCs w:val="24"/>
        </w:rPr>
        <w:t>上述各项合同文件包括合同当事人就该项合同文件所作出的补充和修改，属于同一类内容的文件，应以最新签署的为准。专用合同条款及其附件须经合同当事人签字或盖章。</w:t>
      </w:r>
    </w:p>
    <w:p w14:paraId="5381CBB2">
      <w:pPr>
        <w:keepNext/>
        <w:keepLines/>
        <w:spacing w:before="120" w:after="12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七、承诺</w:t>
      </w:r>
    </w:p>
    <w:p w14:paraId="64E5BC1E">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1.发包人承诺按照法律规定履行项目审批手续、筹集工程建设资金并按照合同约定的期限和方式支付合同价款。</w:t>
      </w:r>
    </w:p>
    <w:p w14:paraId="772801BE">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2.承包人承诺按照法律规定及合同约定组织完成工程施工，确保工程质量和安全，不进行转包及违法分包，并在缺陷责任期及保修期内承担相应的工程维修责任。</w:t>
      </w:r>
    </w:p>
    <w:p w14:paraId="3CB33E63">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3.发包人和承包人通过招投标形式签订合同的，双方理解并承诺不再就同一工程另行签订与合同实质性内容相背离的协议。</w:t>
      </w:r>
    </w:p>
    <w:p w14:paraId="38CB010B">
      <w:pPr>
        <w:spacing w:line="360" w:lineRule="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八、词语含义</w:t>
      </w:r>
    </w:p>
    <w:p w14:paraId="541594DC">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本协议书中词语含义与第二部分通用合同条款中赋予的含义相同。</w:t>
      </w:r>
    </w:p>
    <w:p w14:paraId="5A3AC596">
      <w:pPr>
        <w:keepNext/>
        <w:keepLines/>
        <w:spacing w:before="120" w:after="120"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 xml:space="preserve">  九、签订时间</w:t>
      </w:r>
    </w:p>
    <w:p w14:paraId="5856E35B">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本合同于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日签订。</w:t>
      </w:r>
    </w:p>
    <w:p w14:paraId="10C35C66">
      <w:pPr>
        <w:keepNext/>
        <w:keepLines/>
        <w:spacing w:before="120" w:after="120"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十、签订地点</w:t>
      </w:r>
    </w:p>
    <w:p w14:paraId="6E8ECDCA">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本合同在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签订。</w:t>
      </w:r>
    </w:p>
    <w:p w14:paraId="3FF980B2">
      <w:pPr>
        <w:keepNext/>
        <w:keepLines/>
        <w:spacing w:before="120" w:after="120"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十一、补充协议</w:t>
      </w:r>
    </w:p>
    <w:p w14:paraId="2C452DE9">
      <w:pPr>
        <w:spacing w:line="360" w:lineRule="auto"/>
        <w:ind w:firstLine="560"/>
        <w:rPr>
          <w:rFonts w:hint="eastAsia" w:ascii="宋体" w:hAnsi="宋体" w:eastAsia="宋体" w:cs="宋体"/>
          <w:b/>
          <w:color w:val="auto"/>
          <w:sz w:val="24"/>
          <w:szCs w:val="24"/>
        </w:rPr>
      </w:pPr>
      <w:r>
        <w:rPr>
          <w:rFonts w:hint="eastAsia" w:ascii="宋体" w:hAnsi="宋体" w:eastAsia="宋体" w:cs="宋体"/>
          <w:color w:val="auto"/>
          <w:sz w:val="24"/>
          <w:szCs w:val="24"/>
        </w:rPr>
        <w:t>合同未尽事宜，合同当事人另行签订补充协议，补充协议是合同的组成部分。</w:t>
      </w:r>
    </w:p>
    <w:p w14:paraId="0B0F1952">
      <w:pPr>
        <w:keepNext/>
        <w:keepLines/>
        <w:spacing w:before="120" w:after="120"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十二、合同生效</w:t>
      </w:r>
    </w:p>
    <w:p w14:paraId="72E7CF2F">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本合同自</w:t>
      </w:r>
      <w:r>
        <w:rPr>
          <w:rFonts w:hint="eastAsia" w:ascii="宋体" w:hAnsi="宋体" w:eastAsia="宋体" w:cs="宋体"/>
          <w:color w:val="auto"/>
          <w:sz w:val="24"/>
          <w:szCs w:val="24"/>
          <w:u w:val="single"/>
        </w:rPr>
        <w:t xml:space="preserve">  签字盖章后  </w:t>
      </w:r>
      <w:r>
        <w:rPr>
          <w:rFonts w:hint="eastAsia" w:ascii="宋体" w:hAnsi="宋体" w:eastAsia="宋体" w:cs="宋体"/>
          <w:color w:val="auto"/>
          <w:sz w:val="24"/>
          <w:szCs w:val="24"/>
        </w:rPr>
        <w:t>生效。</w:t>
      </w:r>
    </w:p>
    <w:p w14:paraId="1840CA10">
      <w:pPr>
        <w:keepNext/>
        <w:keepLines/>
        <w:spacing w:before="120" w:after="120"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十三、合同份数</w:t>
      </w:r>
    </w:p>
    <w:p w14:paraId="0E6CEF6C">
      <w:pPr>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本合同一式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份，均具有同等法律效力，发包人执</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份，承包人执</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份。</w:t>
      </w:r>
    </w:p>
    <w:p w14:paraId="4ACDE9B6">
      <w:pPr>
        <w:spacing w:line="360" w:lineRule="auto"/>
        <w:rPr>
          <w:rFonts w:hint="eastAsia" w:ascii="宋体" w:hAnsi="宋体" w:eastAsia="宋体" w:cs="宋体"/>
          <w:color w:val="auto"/>
          <w:sz w:val="24"/>
          <w:szCs w:val="24"/>
        </w:rPr>
      </w:pPr>
    </w:p>
    <w:p w14:paraId="2481054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发包人：  (公章)                     承包人：  (公章)</w:t>
      </w:r>
    </w:p>
    <w:p w14:paraId="23019C42">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p>
    <w:p w14:paraId="4CF80C0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           法定代表人或其委托代理人：</w:t>
      </w:r>
    </w:p>
    <w:p w14:paraId="69270736">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（签字）                               （签字）</w:t>
      </w:r>
    </w:p>
    <w:p w14:paraId="1DF791AE">
      <w:pPr>
        <w:spacing w:line="360" w:lineRule="auto"/>
        <w:rPr>
          <w:rFonts w:hint="eastAsia" w:ascii="宋体" w:hAnsi="宋体" w:eastAsia="宋体" w:cs="宋体"/>
          <w:color w:val="auto"/>
          <w:sz w:val="24"/>
          <w:szCs w:val="24"/>
          <w:u w:val="single"/>
        </w:rPr>
      </w:pPr>
    </w:p>
    <w:p w14:paraId="12D871FF">
      <w:pPr>
        <w:tabs>
          <w:tab w:val="left" w:pos="441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组织机构代码：                       组织机构代码：</w:t>
      </w:r>
    </w:p>
    <w:p w14:paraId="328D399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  址：                             地  址：</w:t>
      </w:r>
    </w:p>
    <w:p w14:paraId="14203C7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邮政编码：                           邮政编码：</w:t>
      </w:r>
    </w:p>
    <w:p w14:paraId="75053D2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  话：                             电  话：</w:t>
      </w:r>
    </w:p>
    <w:p w14:paraId="5E3E641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传  真：                             传  真：</w:t>
      </w:r>
    </w:p>
    <w:p w14:paraId="7F1A11C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电子信箱：                           电子信箱：</w:t>
      </w:r>
    </w:p>
    <w:p w14:paraId="56FE4C2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统一社会信用代码：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统一社会信用代码：</w:t>
      </w:r>
    </w:p>
    <w:p w14:paraId="1FF2A4A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开户银行：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开户银行：</w:t>
      </w:r>
    </w:p>
    <w:p w14:paraId="59C10D9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账  号：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账  号：</w:t>
      </w:r>
    </w:p>
    <w:p w14:paraId="3668D175">
      <w:pPr>
        <w:keepNext/>
        <w:keepLines/>
        <w:numPr>
          <w:ilvl w:val="0"/>
          <w:numId w:val="4"/>
        </w:numPr>
        <w:spacing w:before="260" w:after="260" w:line="360" w:lineRule="auto"/>
        <w:jc w:val="center"/>
        <w:rPr>
          <w:rFonts w:hint="eastAsia" w:ascii="宋体" w:hAnsi="宋体" w:eastAsia="宋体" w:cs="宋体"/>
          <w:b/>
          <w:color w:val="auto"/>
          <w:sz w:val="24"/>
          <w:szCs w:val="24"/>
        </w:rPr>
      </w:pPr>
      <w:r>
        <w:rPr>
          <w:rFonts w:hint="eastAsia" w:ascii="宋体" w:hAnsi="宋体" w:eastAsia="宋体" w:cs="宋体"/>
          <w:color w:val="auto"/>
          <w:sz w:val="24"/>
          <w:szCs w:val="24"/>
        </w:rPr>
        <w:br w:type="page"/>
      </w:r>
      <w:r>
        <w:rPr>
          <w:rFonts w:hint="eastAsia" w:ascii="宋体" w:hAnsi="宋体" w:eastAsia="宋体" w:cs="宋体"/>
          <w:b/>
          <w:color w:val="auto"/>
          <w:sz w:val="24"/>
          <w:szCs w:val="24"/>
        </w:rPr>
        <w:t>通用合同条款</w:t>
      </w:r>
    </w:p>
    <w:p w14:paraId="43ABD247">
      <w:pPr>
        <w:pStyle w:val="21"/>
        <w:ind w:firstLine="210"/>
        <w:jc w:val="center"/>
        <w:rPr>
          <w:rFonts w:hint="eastAsia" w:ascii="宋体" w:hAnsi="宋体" w:cs="宋体"/>
          <w:color w:val="auto"/>
          <w:sz w:val="24"/>
          <w:szCs w:val="24"/>
        </w:rPr>
      </w:pPr>
      <w:r>
        <w:rPr>
          <w:rFonts w:hint="eastAsia" w:ascii="宋体" w:hAnsi="宋体" w:cs="宋体"/>
          <w:color w:val="auto"/>
          <w:sz w:val="24"/>
          <w:szCs w:val="24"/>
        </w:rPr>
        <w:t>按《建设工程施工合同（示范文本）》（GF-2017-0201）执行</w:t>
      </w:r>
    </w:p>
    <w:p w14:paraId="22867171">
      <w:pPr>
        <w:keepNext/>
        <w:keepLines/>
        <w:spacing w:before="260" w:after="260"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第三部分 专用合同条款</w:t>
      </w:r>
    </w:p>
    <w:p w14:paraId="047299CD">
      <w:pPr>
        <w:adjustRightInd w:val="0"/>
        <w:snapToGrid w:val="0"/>
        <w:spacing w:line="360" w:lineRule="auto"/>
        <w:rPr>
          <w:rFonts w:hint="eastAsia" w:ascii="宋体" w:hAnsi="宋体" w:eastAsia="宋体" w:cs="宋体"/>
          <w:color w:val="auto"/>
          <w:sz w:val="24"/>
          <w:szCs w:val="24"/>
        </w:rPr>
      </w:pPr>
      <w:bookmarkStart w:id="6" w:name="_Toc351203633"/>
      <w:r>
        <w:rPr>
          <w:rFonts w:hint="eastAsia" w:ascii="宋体" w:hAnsi="宋体" w:eastAsia="宋体" w:cs="宋体"/>
          <w:color w:val="auto"/>
          <w:sz w:val="24"/>
          <w:szCs w:val="24"/>
        </w:rPr>
        <w:t>1</w:t>
      </w:r>
      <w:bookmarkStart w:id="7" w:name="_Toc296891196"/>
      <w:bookmarkStart w:id="8" w:name="_Toc296503156"/>
      <w:bookmarkStart w:id="9" w:name="_Toc292559866"/>
      <w:bookmarkStart w:id="10" w:name="_Toc296347155"/>
      <w:bookmarkStart w:id="11" w:name="_Toc292559361"/>
      <w:bookmarkStart w:id="12" w:name="_Toc296346657"/>
      <w:bookmarkStart w:id="13" w:name="_Toc296944495"/>
      <w:bookmarkStart w:id="14" w:name="_Toc296890984"/>
      <w:bookmarkStart w:id="15" w:name="_Toc297048342"/>
      <w:bookmarkStart w:id="16" w:name="_Toc297120456"/>
      <w:r>
        <w:rPr>
          <w:rFonts w:hint="eastAsia" w:ascii="宋体" w:hAnsi="宋体" w:eastAsia="宋体" w:cs="宋体"/>
          <w:color w:val="auto"/>
          <w:sz w:val="24"/>
          <w:szCs w:val="24"/>
        </w:rPr>
        <w:t>. 一般约定</w:t>
      </w:r>
      <w:bookmarkEnd w:id="6"/>
    </w:p>
    <w:bookmarkEnd w:id="7"/>
    <w:bookmarkEnd w:id="8"/>
    <w:bookmarkEnd w:id="9"/>
    <w:bookmarkEnd w:id="10"/>
    <w:bookmarkEnd w:id="11"/>
    <w:bookmarkEnd w:id="12"/>
    <w:bookmarkEnd w:id="13"/>
    <w:bookmarkEnd w:id="14"/>
    <w:bookmarkEnd w:id="15"/>
    <w:bookmarkEnd w:id="16"/>
    <w:p w14:paraId="1446BF0C">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1.1 词语定义</w:t>
      </w:r>
    </w:p>
    <w:p w14:paraId="3BE0CC4D">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1.1.1合同</w:t>
      </w:r>
    </w:p>
    <w:p w14:paraId="627B8C80">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1.1.1.10其他合同文件包括：</w:t>
      </w:r>
      <w:r>
        <w:rPr>
          <w:rFonts w:hint="eastAsia" w:ascii="宋体" w:hAnsi="宋体" w:eastAsia="宋体" w:cs="宋体"/>
          <w:color w:val="auto"/>
          <w:sz w:val="24"/>
          <w:szCs w:val="24"/>
          <w:u w:val="single"/>
        </w:rPr>
        <w:t xml:space="preserve">                      </w:t>
      </w:r>
    </w:p>
    <w:p w14:paraId="1AC6E51D">
      <w:pPr>
        <w:adjustRightInd w:val="0"/>
        <w:snapToGrid w:val="0"/>
        <w:spacing w:line="360" w:lineRule="auto"/>
        <w:ind w:left="1320" w:hanging="1320" w:hangingChars="5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14:paraId="6AE62558">
      <w:pPr>
        <w:adjustRightInd w:val="0"/>
        <w:snapToGrid w:val="0"/>
        <w:spacing w:line="360" w:lineRule="auto"/>
        <w:ind w:left="1320" w:hanging="1320" w:hangingChars="550"/>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DA3B320">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 合同当事人及其他相关方</w:t>
      </w:r>
    </w:p>
    <w:p w14:paraId="599077B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1.1.2.4监理人：</w:t>
      </w:r>
    </w:p>
    <w:p w14:paraId="76131E5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432763EC">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2709059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302D3B9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050369D6">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EEB4A3C">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1.1.2.5 设计人：</w:t>
      </w:r>
    </w:p>
    <w:p w14:paraId="089B6F13">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007B69CF">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013FA2E3">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426A489F">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41D614F5">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7BEFFDE2">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1.1.3 工程和设备</w:t>
      </w:r>
    </w:p>
    <w:p w14:paraId="62B6B514">
      <w:pPr>
        <w:adjustRightInd w:val="0"/>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1.1.3.7 作为施工现场组成部分的其他场所包括：</w:t>
      </w:r>
      <w:r>
        <w:rPr>
          <w:rFonts w:hint="eastAsia" w:ascii="宋体" w:hAnsi="宋体" w:eastAsia="宋体" w:cs="宋体"/>
          <w:color w:val="auto"/>
          <w:sz w:val="24"/>
          <w:szCs w:val="24"/>
          <w:u w:val="single"/>
        </w:rPr>
        <w:t xml:space="preserve">           </w:t>
      </w:r>
    </w:p>
    <w:p w14:paraId="49C58EA6">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10F97B6">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1.1.3.9 永久占地包括：</w:t>
      </w:r>
      <w:r>
        <w:rPr>
          <w:rFonts w:hint="eastAsia" w:ascii="宋体" w:hAnsi="宋体" w:eastAsia="宋体" w:cs="宋体"/>
          <w:color w:val="auto"/>
          <w:sz w:val="24"/>
          <w:szCs w:val="24"/>
          <w:u w:val="single"/>
        </w:rPr>
        <w:t xml:space="preserve">                        </w:t>
      </w:r>
      <w:r>
        <w:rPr>
          <w:rFonts w:hint="eastAsia" w:ascii="宋体" w:hAnsi="宋体" w:eastAsia="宋体" w:cs="宋体"/>
          <w:color w:val="auto"/>
          <w:kern w:val="0"/>
          <w:sz w:val="24"/>
          <w:szCs w:val="24"/>
        </w:rPr>
        <w:t>。</w:t>
      </w:r>
    </w:p>
    <w:p w14:paraId="278CFDBE">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1.1.3.10 临时占地包括：</w:t>
      </w:r>
      <w:r>
        <w:rPr>
          <w:rFonts w:hint="eastAsia" w:ascii="宋体" w:hAnsi="宋体" w:eastAsia="宋体" w:cs="宋体"/>
          <w:color w:val="auto"/>
          <w:sz w:val="24"/>
          <w:szCs w:val="24"/>
          <w:u w:val="single"/>
        </w:rPr>
        <w:t xml:space="preserve">                       </w:t>
      </w:r>
      <w:r>
        <w:rPr>
          <w:rFonts w:hint="eastAsia" w:ascii="宋体" w:hAnsi="宋体" w:eastAsia="宋体" w:cs="宋体"/>
          <w:color w:val="auto"/>
          <w:kern w:val="0"/>
          <w:sz w:val="24"/>
          <w:szCs w:val="24"/>
        </w:rPr>
        <w:t>。</w:t>
      </w:r>
    </w:p>
    <w:p w14:paraId="53D349C9">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1.3法律 </w:t>
      </w:r>
    </w:p>
    <w:p w14:paraId="3ABD994B">
      <w:pPr>
        <w:autoSpaceDE w:val="0"/>
        <w:autoSpaceDN w:val="0"/>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适用于合同的其他规范性文件：</w:t>
      </w:r>
      <w:r>
        <w:rPr>
          <w:rFonts w:hint="eastAsia" w:ascii="宋体" w:hAnsi="宋体" w:eastAsia="宋体" w:cs="宋体"/>
          <w:color w:val="auto"/>
          <w:sz w:val="24"/>
          <w:szCs w:val="24"/>
          <w:u w:val="single"/>
        </w:rPr>
        <w:t>按照国家相关法律法规和河南省有关法规、规章和规范性文件均对合同有约束力</w:t>
      </w:r>
      <w:r>
        <w:rPr>
          <w:rFonts w:hint="eastAsia" w:ascii="宋体" w:hAnsi="宋体" w:eastAsia="宋体" w:cs="宋体"/>
          <w:color w:val="auto"/>
          <w:sz w:val="24"/>
          <w:szCs w:val="24"/>
        </w:rPr>
        <w:t>。</w:t>
      </w:r>
    </w:p>
    <w:p w14:paraId="45AAC1E2">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 标准和规范</w:t>
      </w:r>
    </w:p>
    <w:p w14:paraId="3A24B174">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1.4.1适用于工程的标准规范包括：</w:t>
      </w:r>
      <w:r>
        <w:rPr>
          <w:rFonts w:hint="eastAsia" w:ascii="宋体" w:hAnsi="宋体" w:eastAsia="宋体" w:cs="宋体"/>
          <w:color w:val="auto"/>
          <w:sz w:val="24"/>
          <w:szCs w:val="24"/>
          <w:u w:val="single"/>
        </w:rPr>
        <w:t>按照国家相应标准及规范</w:t>
      </w:r>
      <w:r>
        <w:rPr>
          <w:rFonts w:hint="eastAsia" w:ascii="宋体" w:hAnsi="宋体" w:eastAsia="宋体" w:cs="宋体"/>
          <w:color w:val="auto"/>
          <w:sz w:val="24"/>
          <w:szCs w:val="24"/>
        </w:rPr>
        <w:t>。</w:t>
      </w:r>
    </w:p>
    <w:p w14:paraId="5298F537">
      <w:pPr>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1.4.2 发包人提供国外标准、规范的名称：</w:t>
      </w:r>
      <w:r>
        <w:rPr>
          <w:rFonts w:hint="eastAsia" w:ascii="宋体" w:hAnsi="宋体" w:eastAsia="宋体" w:cs="宋体"/>
          <w:color w:val="auto"/>
          <w:kern w:val="0"/>
          <w:sz w:val="24"/>
          <w:szCs w:val="24"/>
          <w:u w:val="single"/>
        </w:rPr>
        <w:t xml:space="preserve">    无    </w:t>
      </w:r>
      <w:r>
        <w:rPr>
          <w:rFonts w:hint="eastAsia" w:ascii="宋体" w:hAnsi="宋体" w:eastAsia="宋体" w:cs="宋体"/>
          <w:color w:val="auto"/>
          <w:kern w:val="0"/>
          <w:sz w:val="24"/>
          <w:szCs w:val="24"/>
        </w:rPr>
        <w:t>；</w:t>
      </w:r>
    </w:p>
    <w:p w14:paraId="4CD98D4A">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发包人提供国外标准、规范的份数：</w:t>
      </w:r>
      <w:r>
        <w:rPr>
          <w:rFonts w:hint="eastAsia" w:ascii="宋体" w:hAnsi="宋体" w:eastAsia="宋体" w:cs="宋体"/>
          <w:color w:val="auto"/>
          <w:kern w:val="0"/>
          <w:sz w:val="24"/>
          <w:szCs w:val="24"/>
          <w:u w:val="single"/>
        </w:rPr>
        <w:t xml:space="preserve">      无    </w:t>
      </w:r>
      <w:r>
        <w:rPr>
          <w:rFonts w:hint="eastAsia" w:ascii="宋体" w:hAnsi="宋体" w:eastAsia="宋体" w:cs="宋体"/>
          <w:color w:val="auto"/>
          <w:kern w:val="0"/>
          <w:sz w:val="24"/>
          <w:szCs w:val="24"/>
        </w:rPr>
        <w:t>；</w:t>
      </w:r>
    </w:p>
    <w:p w14:paraId="0080258F">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发包人提供国外标准、规范的名称：</w:t>
      </w:r>
      <w:r>
        <w:rPr>
          <w:rFonts w:hint="eastAsia" w:ascii="宋体" w:hAnsi="宋体" w:eastAsia="宋体" w:cs="宋体"/>
          <w:color w:val="auto"/>
          <w:kern w:val="0"/>
          <w:sz w:val="24"/>
          <w:szCs w:val="24"/>
          <w:u w:val="single"/>
        </w:rPr>
        <w:t xml:space="preserve">      无     </w:t>
      </w:r>
      <w:r>
        <w:rPr>
          <w:rFonts w:hint="eastAsia" w:ascii="宋体" w:hAnsi="宋体" w:eastAsia="宋体" w:cs="宋体"/>
          <w:color w:val="auto"/>
          <w:kern w:val="0"/>
          <w:sz w:val="24"/>
          <w:szCs w:val="24"/>
        </w:rPr>
        <w:t>。</w:t>
      </w:r>
    </w:p>
    <w:p w14:paraId="0097406E">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1.4.3发包人对工程的技术标准和功能要求的特殊要求：</w:t>
      </w:r>
    </w:p>
    <w:p w14:paraId="24C6B94D">
      <w:pPr>
        <w:adjustRightInd w:val="0"/>
        <w:snapToGrid w:val="0"/>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u w:val="none"/>
          <w:lang w:eastAsia="zh-CN"/>
        </w:rPr>
        <w:t>。</w:t>
      </w:r>
    </w:p>
    <w:p w14:paraId="7C82468D">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1.5 合同文件的优先顺序</w:t>
      </w:r>
    </w:p>
    <w:p w14:paraId="3840F97B">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合同文件组成及优先顺序为：</w:t>
      </w:r>
      <w:r>
        <w:rPr>
          <w:rFonts w:hint="eastAsia" w:ascii="宋体" w:hAnsi="宋体" w:eastAsia="宋体" w:cs="宋体"/>
          <w:color w:val="auto"/>
          <w:sz w:val="24"/>
          <w:szCs w:val="24"/>
          <w:u w:val="single"/>
        </w:rPr>
        <w:t>按照通用条款执行</w:t>
      </w:r>
      <w:r>
        <w:rPr>
          <w:rFonts w:hint="eastAsia" w:ascii="宋体" w:hAnsi="宋体" w:eastAsia="宋体" w:cs="宋体"/>
          <w:color w:val="auto"/>
          <w:sz w:val="24"/>
          <w:szCs w:val="24"/>
        </w:rPr>
        <w:t>。</w:t>
      </w:r>
    </w:p>
    <w:p w14:paraId="0604FFD1">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1.6 图纸和</w:t>
      </w:r>
      <w:r>
        <w:rPr>
          <w:rFonts w:hint="eastAsia" w:ascii="宋体" w:hAnsi="宋体" w:eastAsia="宋体" w:cs="宋体"/>
          <w:color w:val="auto"/>
          <w:kern w:val="0"/>
          <w:sz w:val="24"/>
          <w:szCs w:val="24"/>
        </w:rPr>
        <w:t>承包人</w:t>
      </w:r>
      <w:r>
        <w:rPr>
          <w:rFonts w:hint="eastAsia" w:ascii="宋体" w:hAnsi="宋体" w:eastAsia="宋体" w:cs="宋体"/>
          <w:color w:val="auto"/>
          <w:sz w:val="24"/>
          <w:szCs w:val="24"/>
        </w:rPr>
        <w:t>文件</w:t>
      </w:r>
      <w:r>
        <w:rPr>
          <w:rFonts w:hint="eastAsia" w:ascii="宋体" w:hAnsi="宋体" w:eastAsia="宋体" w:cs="宋体"/>
          <w:color w:val="auto"/>
          <w:sz w:val="24"/>
          <w:szCs w:val="24"/>
        </w:rPr>
        <w:tab/>
      </w:r>
    </w:p>
    <w:p w14:paraId="70ABA49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1.6.1 图纸的提供</w:t>
      </w:r>
    </w:p>
    <w:p w14:paraId="4FA0171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发包人向承包人提供图纸的期限：</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w:t>
      </w:r>
    </w:p>
    <w:p w14:paraId="7A7A9753">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发包人向承包人提供图纸的数量：</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94EEF7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发包人向承包人提供图纸的内容：</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7052FFC2">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1.6.4 承包人文件</w:t>
      </w:r>
    </w:p>
    <w:p w14:paraId="7A4CA456">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需要由承包人提供的文件，包括：</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DE5FF27">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承包人提供的文件的期限为：</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6FC3A527">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承包人提供的文件的数量为：</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78248866">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承包人提供的文件的形式为：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0E7C1D5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发包人审批承包人文件的期限：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0F3B02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1.6.5 现场图纸准备</w:t>
      </w:r>
    </w:p>
    <w:p w14:paraId="46E7253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关于现场图纸准备的约定：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ECB7FAD">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1.7 联络</w:t>
      </w:r>
    </w:p>
    <w:p w14:paraId="6F9E8BCC">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1.7.1发包人和承包人应当在</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天内将与合同有关的通知、批准、证明、证书、指示、指令、要求、请求、同意、意见、确定和决定等书面函件送达对方当事人。</w:t>
      </w:r>
    </w:p>
    <w:p w14:paraId="1835A4D7">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 发包人接收文件的地点：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64D44197">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发包人指定的接收人为：</w:t>
      </w:r>
      <w:r>
        <w:rPr>
          <w:rFonts w:hint="eastAsia" w:ascii="宋体" w:hAnsi="宋体" w:eastAsia="宋体" w:cs="宋体"/>
          <w:color w:val="auto"/>
          <w:sz w:val="24"/>
          <w:szCs w:val="24"/>
          <w:u w:val="single"/>
        </w:rPr>
        <w:t>               </w:t>
      </w:r>
      <w:r>
        <w:rPr>
          <w:rFonts w:hint="eastAsia" w:ascii="宋体" w:hAnsi="宋体" w:eastAsia="宋体" w:cs="宋体"/>
          <w:color w:val="auto"/>
          <w:kern w:val="0"/>
          <w:sz w:val="24"/>
          <w:szCs w:val="24"/>
        </w:rPr>
        <w:t>。</w:t>
      </w:r>
    </w:p>
    <w:p w14:paraId="00883858">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承包人接收文件的地点：</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7AD52FF0">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承包人指定的接收人为：</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7EAA5635">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1D1C688F">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监理人指定的接收人为：</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3A9CFEB4">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1.10 交通运输</w:t>
      </w:r>
    </w:p>
    <w:p w14:paraId="36E32234">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17" w:name="_Toc312677986"/>
      <w:bookmarkStart w:id="18" w:name="_Toc318581155"/>
      <w:bookmarkStart w:id="19" w:name="_Toc303539100"/>
      <w:bookmarkStart w:id="20" w:name="_Toc300934943"/>
      <w:bookmarkStart w:id="21" w:name="_Toc304295521"/>
      <w:r>
        <w:rPr>
          <w:rFonts w:hint="eastAsia" w:ascii="宋体" w:hAnsi="宋体" w:eastAsia="宋体" w:cs="宋体"/>
          <w:color w:val="auto"/>
          <w:sz w:val="24"/>
          <w:szCs w:val="24"/>
        </w:rPr>
        <w:t xml:space="preserve">.10.1 </w:t>
      </w:r>
      <w:r>
        <w:rPr>
          <w:rFonts w:hint="eastAsia" w:ascii="宋体" w:hAnsi="宋体" w:eastAsia="宋体" w:cs="宋体"/>
          <w:color w:val="auto"/>
          <w:kern w:val="0"/>
          <w:sz w:val="24"/>
          <w:szCs w:val="24"/>
        </w:rPr>
        <w:t>出入</w:t>
      </w:r>
      <w:r>
        <w:rPr>
          <w:rFonts w:hint="eastAsia" w:ascii="宋体" w:hAnsi="宋体" w:eastAsia="宋体" w:cs="宋体"/>
          <w:color w:val="auto"/>
          <w:sz w:val="24"/>
          <w:szCs w:val="24"/>
        </w:rPr>
        <w:t>现场的权利</w:t>
      </w:r>
    </w:p>
    <w:p w14:paraId="3698DEA0">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关于出入现场的权利的约定：</w:t>
      </w:r>
      <w:r>
        <w:rPr>
          <w:rFonts w:hint="eastAsia" w:ascii="宋体" w:hAnsi="宋体" w:eastAsia="宋体" w:cs="宋体"/>
          <w:color w:val="auto"/>
          <w:sz w:val="24"/>
          <w:szCs w:val="24"/>
          <w:u w:val="single"/>
        </w:rPr>
        <w:t xml:space="preserve"> 执行通用条款第1.10.1项</w:t>
      </w:r>
      <w:r>
        <w:rPr>
          <w:rFonts w:hint="eastAsia" w:ascii="宋体" w:hAnsi="宋体" w:eastAsia="宋体" w:cs="宋体"/>
          <w:color w:val="auto"/>
          <w:sz w:val="24"/>
          <w:szCs w:val="24"/>
        </w:rPr>
        <w:t>。</w:t>
      </w:r>
    </w:p>
    <w:bookmarkEnd w:id="17"/>
    <w:bookmarkEnd w:id="18"/>
    <w:bookmarkEnd w:id="19"/>
    <w:bookmarkEnd w:id="20"/>
    <w:bookmarkEnd w:id="21"/>
    <w:p w14:paraId="36364EEE">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22" w:name="_Toc300934944"/>
      <w:bookmarkStart w:id="23" w:name="_Toc318581156"/>
      <w:bookmarkStart w:id="24" w:name="_Toc303539101"/>
      <w:bookmarkStart w:id="25" w:name="_Toc304295522"/>
      <w:bookmarkStart w:id="26" w:name="_Toc312677987"/>
      <w:r>
        <w:rPr>
          <w:rFonts w:hint="eastAsia" w:ascii="宋体" w:hAnsi="宋体" w:eastAsia="宋体" w:cs="宋体"/>
          <w:color w:val="auto"/>
          <w:sz w:val="24"/>
          <w:szCs w:val="24"/>
        </w:rPr>
        <w:t>.10.3 场内交通</w:t>
      </w:r>
    </w:p>
    <w:p w14:paraId="22823FA0">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关于场外交通和场内交通的边界的约定：</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w:t>
      </w:r>
    </w:p>
    <w:p w14:paraId="1B58492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关于发包人向承包人免费提供满足工程施工需要的场内道路和交通设施的约定：</w:t>
      </w:r>
      <w:r>
        <w:rPr>
          <w:rFonts w:hint="eastAsia" w:ascii="宋体" w:hAnsi="宋体" w:eastAsia="宋体" w:cs="宋体"/>
          <w:color w:val="auto"/>
          <w:sz w:val="24"/>
          <w:szCs w:val="24"/>
          <w:u w:val="single"/>
        </w:rPr>
        <w:t>           </w:t>
      </w:r>
      <w:r>
        <w:rPr>
          <w:rFonts w:hint="eastAsia" w:ascii="宋体" w:hAnsi="宋体" w:eastAsia="宋体" w:cs="宋体"/>
          <w:color w:val="auto"/>
          <w:sz w:val="24"/>
          <w:szCs w:val="24"/>
        </w:rPr>
        <w:t>。</w:t>
      </w:r>
      <w:bookmarkEnd w:id="22"/>
      <w:bookmarkEnd w:id="23"/>
      <w:bookmarkEnd w:id="24"/>
      <w:bookmarkEnd w:id="25"/>
      <w:bookmarkEnd w:id="26"/>
      <w:bookmarkStart w:id="27" w:name="_Toc318581157"/>
    </w:p>
    <w:p w14:paraId="62A5EA5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1.10.4超大件和超重件的运输</w:t>
      </w:r>
    </w:p>
    <w:p w14:paraId="5DEF249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运输超大件或超重件所需的道路和桥梁临时加固改造费用和其他有关费用由</w:t>
      </w:r>
      <w:r>
        <w:rPr>
          <w:rFonts w:hint="eastAsia" w:ascii="宋体" w:hAnsi="宋体" w:eastAsia="宋体" w:cs="宋体"/>
          <w:color w:val="auto"/>
          <w:sz w:val="24"/>
          <w:szCs w:val="24"/>
          <w:u w:val="single"/>
        </w:rPr>
        <w:t xml:space="preserve"> 承包人  </w:t>
      </w:r>
      <w:r>
        <w:rPr>
          <w:rFonts w:hint="eastAsia" w:ascii="宋体" w:hAnsi="宋体" w:eastAsia="宋体" w:cs="宋体"/>
          <w:color w:val="auto"/>
          <w:sz w:val="24"/>
          <w:szCs w:val="24"/>
        </w:rPr>
        <w:t>承担。</w:t>
      </w:r>
    </w:p>
    <w:bookmarkEnd w:id="27"/>
    <w:p w14:paraId="3A072722">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1.11 知识</w:t>
      </w:r>
      <w:r>
        <w:rPr>
          <w:rFonts w:hint="eastAsia" w:ascii="宋体" w:hAnsi="宋体" w:eastAsia="宋体" w:cs="宋体"/>
          <w:color w:val="auto"/>
          <w:kern w:val="0"/>
          <w:sz w:val="24"/>
          <w:szCs w:val="24"/>
        </w:rPr>
        <w:t>产权</w:t>
      </w:r>
    </w:p>
    <w:p w14:paraId="2253EF52">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3079E10">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关于发包人提供的上述文件的使用限制的要求：</w:t>
      </w:r>
      <w:r>
        <w:rPr>
          <w:rFonts w:hint="eastAsia" w:ascii="宋体" w:hAnsi="宋体" w:eastAsia="宋体" w:cs="宋体"/>
          <w:color w:val="auto"/>
          <w:sz w:val="24"/>
          <w:szCs w:val="24"/>
          <w:u w:val="single"/>
        </w:rPr>
        <w:t>执行通用条款</w:t>
      </w:r>
      <w:r>
        <w:rPr>
          <w:rFonts w:hint="eastAsia" w:ascii="宋体" w:hAnsi="宋体" w:eastAsia="宋体" w:cs="宋体"/>
          <w:color w:val="auto"/>
          <w:sz w:val="24"/>
          <w:szCs w:val="24"/>
        </w:rPr>
        <w:t>。</w:t>
      </w:r>
    </w:p>
    <w:p w14:paraId="54661C93">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1.11.2 关于承包人为实施工程所编制文件的著作权的归属：</w:t>
      </w:r>
      <w:r>
        <w:rPr>
          <w:rFonts w:hint="eastAsia" w:ascii="宋体" w:hAnsi="宋体" w:eastAsia="宋体" w:cs="宋体"/>
          <w:color w:val="auto"/>
          <w:sz w:val="24"/>
          <w:szCs w:val="24"/>
          <w:u w:val="single"/>
        </w:rPr>
        <w:t>执行通用条款</w:t>
      </w:r>
      <w:r>
        <w:rPr>
          <w:rFonts w:hint="eastAsia" w:ascii="宋体" w:hAnsi="宋体" w:eastAsia="宋体" w:cs="宋体"/>
          <w:color w:val="auto"/>
          <w:sz w:val="24"/>
          <w:szCs w:val="24"/>
        </w:rPr>
        <w:t>。</w:t>
      </w:r>
    </w:p>
    <w:p w14:paraId="5B67E363">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关于承包人提供的上述文件的使用限制的要求：</w:t>
      </w:r>
      <w:r>
        <w:rPr>
          <w:rFonts w:hint="eastAsia" w:ascii="宋体" w:hAnsi="宋体" w:eastAsia="宋体" w:cs="宋体"/>
          <w:color w:val="auto"/>
          <w:sz w:val="24"/>
          <w:szCs w:val="24"/>
          <w:u w:val="single"/>
        </w:rPr>
        <w:t>执行通用条款</w:t>
      </w:r>
      <w:r>
        <w:rPr>
          <w:rFonts w:hint="eastAsia" w:ascii="宋体" w:hAnsi="宋体" w:eastAsia="宋体" w:cs="宋体"/>
          <w:color w:val="auto"/>
          <w:sz w:val="24"/>
          <w:szCs w:val="24"/>
        </w:rPr>
        <w:t>。</w:t>
      </w:r>
    </w:p>
    <w:p w14:paraId="042B09DF">
      <w:pPr>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sz w:val="24"/>
          <w:szCs w:val="24"/>
        </w:rPr>
        <w:t>1.11.4 承包人在施工过程中所采用的专利、专有技术、技术秘密的使用费的承担方式：</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32C63C0A">
      <w:pPr>
        <w:adjustRightInd w:val="0"/>
        <w:snapToGrid w:val="0"/>
        <w:spacing w:line="360" w:lineRule="auto"/>
        <w:rPr>
          <w:rFonts w:hint="eastAsia" w:ascii="宋体" w:hAnsi="宋体" w:eastAsia="宋体" w:cs="宋体"/>
          <w:color w:val="auto"/>
          <w:sz w:val="24"/>
          <w:szCs w:val="24"/>
        </w:rPr>
      </w:pPr>
      <w:bookmarkStart w:id="28" w:name="_Toc351203634"/>
      <w:r>
        <w:rPr>
          <w:rFonts w:hint="eastAsia" w:ascii="宋体" w:hAnsi="宋体" w:eastAsia="宋体" w:cs="宋体"/>
          <w:color w:val="auto"/>
          <w:sz w:val="24"/>
          <w:szCs w:val="24"/>
        </w:rPr>
        <w:t>2</w:t>
      </w:r>
      <w:bookmarkStart w:id="29" w:name="_Toc296944496"/>
      <w:bookmarkStart w:id="30" w:name="_Toc292559867"/>
      <w:bookmarkStart w:id="31" w:name="_Toc296346658"/>
      <w:bookmarkStart w:id="32" w:name="_Toc292559362"/>
      <w:bookmarkStart w:id="33" w:name="_Toc297048343"/>
      <w:bookmarkStart w:id="34" w:name="_Toc296503157"/>
      <w:bookmarkStart w:id="35" w:name="_Toc296347156"/>
      <w:bookmarkStart w:id="36" w:name="_Toc296890985"/>
      <w:bookmarkStart w:id="37" w:name="_Toc297120457"/>
      <w:bookmarkStart w:id="38" w:name="_Toc296891197"/>
      <w:r>
        <w:rPr>
          <w:rFonts w:hint="eastAsia" w:ascii="宋体" w:hAnsi="宋体" w:eastAsia="宋体" w:cs="宋体"/>
          <w:color w:val="auto"/>
          <w:sz w:val="24"/>
          <w:szCs w:val="24"/>
        </w:rPr>
        <w:t>. 发包人</w:t>
      </w:r>
      <w:bookmarkEnd w:id="28"/>
    </w:p>
    <w:bookmarkEnd w:id="29"/>
    <w:bookmarkEnd w:id="30"/>
    <w:bookmarkEnd w:id="31"/>
    <w:bookmarkEnd w:id="32"/>
    <w:bookmarkEnd w:id="33"/>
    <w:bookmarkEnd w:id="34"/>
    <w:bookmarkEnd w:id="35"/>
    <w:bookmarkEnd w:id="36"/>
    <w:bookmarkEnd w:id="37"/>
    <w:bookmarkEnd w:id="38"/>
    <w:p w14:paraId="04C56133">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2.2 发包人代表</w:t>
      </w:r>
    </w:p>
    <w:p w14:paraId="36A2465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发包人代表：</w:t>
      </w:r>
    </w:p>
    <w:p w14:paraId="6EA5BB26">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7940CC9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3AE2CA5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9DF9C02">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038B9B47">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6A5BC7D9">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BDEC7E0">
      <w:pPr>
        <w:adjustRightInd w:val="0"/>
        <w:snapToGrid w:val="0"/>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发包人对发包人代表的授权范围如下：</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0063390">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2.4 施工现场、</w:t>
      </w:r>
      <w:r>
        <w:rPr>
          <w:rFonts w:hint="eastAsia" w:ascii="宋体" w:hAnsi="宋体" w:eastAsia="宋体" w:cs="宋体"/>
          <w:color w:val="auto"/>
          <w:kern w:val="0"/>
          <w:sz w:val="24"/>
          <w:szCs w:val="24"/>
        </w:rPr>
        <w:t>施工</w:t>
      </w:r>
      <w:r>
        <w:rPr>
          <w:rFonts w:hint="eastAsia" w:ascii="宋体" w:hAnsi="宋体" w:eastAsia="宋体" w:cs="宋体"/>
          <w:color w:val="auto"/>
          <w:sz w:val="24"/>
          <w:szCs w:val="24"/>
        </w:rPr>
        <w:t>条件和基础资料的提供</w:t>
      </w:r>
    </w:p>
    <w:p w14:paraId="012E7F4F">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提供施工现场</w:t>
      </w:r>
    </w:p>
    <w:p w14:paraId="2BC25CC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关于发包人移交施工现场的期限要求：</w:t>
      </w:r>
      <w:r>
        <w:rPr>
          <w:rFonts w:hint="eastAsia" w:ascii="宋体" w:hAnsi="宋体" w:eastAsia="宋体" w:cs="宋体"/>
          <w:color w:val="auto"/>
          <w:sz w:val="24"/>
          <w:szCs w:val="24"/>
          <w:u w:val="single"/>
        </w:rPr>
        <w:t xml:space="preserve">执行通用条款    </w:t>
      </w:r>
      <w:r>
        <w:rPr>
          <w:rFonts w:hint="eastAsia" w:ascii="宋体" w:hAnsi="宋体" w:eastAsia="宋体" w:cs="宋体"/>
          <w:color w:val="auto"/>
          <w:sz w:val="24"/>
          <w:szCs w:val="24"/>
        </w:rPr>
        <w:t>。</w:t>
      </w:r>
    </w:p>
    <w:p w14:paraId="3D1E7C45">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 提供施工条件</w:t>
      </w:r>
    </w:p>
    <w:p w14:paraId="787B03A3">
      <w:pPr>
        <w:adjustRightInd w:val="0"/>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关于发包人应负责提供施工所需要的条件，包括：</w:t>
      </w:r>
      <w:r>
        <w:rPr>
          <w:rFonts w:hint="eastAsia" w:ascii="宋体" w:hAnsi="宋体" w:eastAsia="宋体" w:cs="宋体"/>
          <w:color w:val="auto"/>
          <w:sz w:val="24"/>
          <w:szCs w:val="24"/>
          <w:u w:val="single"/>
        </w:rPr>
        <w:t xml:space="preserve"> 执行通用条款    </w:t>
      </w:r>
      <w:r>
        <w:rPr>
          <w:rFonts w:hint="eastAsia" w:ascii="宋体" w:hAnsi="宋体" w:eastAsia="宋体" w:cs="宋体"/>
          <w:color w:val="auto"/>
          <w:sz w:val="24"/>
          <w:szCs w:val="24"/>
        </w:rPr>
        <w:t>。</w:t>
      </w:r>
    </w:p>
    <w:p w14:paraId="33335B49">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2.5 资金来源</w:t>
      </w:r>
      <w:r>
        <w:rPr>
          <w:rFonts w:hint="eastAsia" w:ascii="宋体" w:hAnsi="宋体" w:eastAsia="宋体" w:cs="宋体"/>
          <w:color w:val="auto"/>
          <w:kern w:val="0"/>
          <w:sz w:val="24"/>
          <w:szCs w:val="24"/>
        </w:rPr>
        <w:t>证明</w:t>
      </w:r>
      <w:r>
        <w:rPr>
          <w:rFonts w:hint="eastAsia" w:ascii="宋体" w:hAnsi="宋体" w:eastAsia="宋体" w:cs="宋体"/>
          <w:color w:val="auto"/>
          <w:sz w:val="24"/>
          <w:szCs w:val="24"/>
        </w:rPr>
        <w:t>及支付担保</w:t>
      </w:r>
    </w:p>
    <w:p w14:paraId="32A4B1DA">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发包人提供资金来源证明的期限要求：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C01BA1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发包人是否提供支付担保：</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3DBDE88">
      <w:pPr>
        <w:adjustRightInd w:val="0"/>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发包人提供支付担保的形式：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59E76D76">
      <w:pPr>
        <w:adjustRightInd w:val="0"/>
        <w:snapToGrid w:val="0"/>
        <w:spacing w:line="360" w:lineRule="auto"/>
        <w:rPr>
          <w:rFonts w:hint="eastAsia" w:ascii="宋体" w:hAnsi="宋体" w:eastAsia="宋体" w:cs="宋体"/>
          <w:color w:val="auto"/>
          <w:sz w:val="24"/>
          <w:szCs w:val="24"/>
        </w:rPr>
      </w:pPr>
      <w:bookmarkStart w:id="39" w:name="_Toc351203635"/>
      <w:r>
        <w:rPr>
          <w:rFonts w:hint="eastAsia" w:ascii="宋体" w:hAnsi="宋体" w:eastAsia="宋体" w:cs="宋体"/>
          <w:color w:val="auto"/>
          <w:sz w:val="24"/>
          <w:szCs w:val="24"/>
        </w:rPr>
        <w:t>3</w:t>
      </w:r>
      <w:bookmarkStart w:id="40" w:name="_Toc292559868"/>
      <w:bookmarkStart w:id="41" w:name="_Toc296503158"/>
      <w:bookmarkStart w:id="42" w:name="_Toc296890986"/>
      <w:bookmarkStart w:id="43" w:name="_Toc297048344"/>
      <w:bookmarkStart w:id="44" w:name="_Toc296944497"/>
      <w:bookmarkStart w:id="45" w:name="_Toc292559363"/>
      <w:bookmarkStart w:id="46" w:name="_Toc297120458"/>
      <w:bookmarkStart w:id="47" w:name="_Toc296891198"/>
      <w:bookmarkStart w:id="48" w:name="_Toc296347157"/>
      <w:bookmarkStart w:id="49" w:name="_Toc296346659"/>
      <w:r>
        <w:rPr>
          <w:rFonts w:hint="eastAsia" w:ascii="宋体" w:hAnsi="宋体" w:eastAsia="宋体" w:cs="宋体"/>
          <w:color w:val="auto"/>
          <w:sz w:val="24"/>
          <w:szCs w:val="24"/>
        </w:rPr>
        <w:t>. 承包人</w:t>
      </w:r>
      <w:bookmarkEnd w:id="39"/>
    </w:p>
    <w:bookmarkEnd w:id="40"/>
    <w:bookmarkEnd w:id="41"/>
    <w:bookmarkEnd w:id="42"/>
    <w:bookmarkEnd w:id="43"/>
    <w:bookmarkEnd w:id="44"/>
    <w:bookmarkEnd w:id="45"/>
    <w:bookmarkEnd w:id="46"/>
    <w:bookmarkEnd w:id="47"/>
    <w:bookmarkEnd w:id="48"/>
    <w:bookmarkEnd w:id="49"/>
    <w:p w14:paraId="0C27D995">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3.1 承包人的一般义务</w:t>
      </w:r>
    </w:p>
    <w:p w14:paraId="30A3A0BF">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（9）</w:t>
      </w:r>
      <w:r>
        <w:rPr>
          <w:rFonts w:hint="eastAsia" w:ascii="宋体" w:hAnsi="宋体" w:eastAsia="宋体" w:cs="宋体"/>
          <w:color w:val="auto"/>
          <w:sz w:val="24"/>
          <w:szCs w:val="24"/>
        </w:rPr>
        <w:t>承包人提交的竣工资料的内容：</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DF4259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承包人需要提交的竣工资料套数：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CC58E60">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承包人提交的竣工资料的费用承担：</w:t>
      </w:r>
      <w:r>
        <w:rPr>
          <w:rFonts w:hint="eastAsia" w:ascii="宋体" w:hAnsi="宋体" w:eastAsia="宋体" w:cs="宋体"/>
          <w:color w:val="auto"/>
          <w:sz w:val="24"/>
          <w:szCs w:val="24"/>
          <w:u w:val="single"/>
        </w:rPr>
        <w:t xml:space="preserve">     由承包人承担    </w:t>
      </w:r>
      <w:r>
        <w:rPr>
          <w:rFonts w:hint="eastAsia" w:ascii="宋体" w:hAnsi="宋体" w:eastAsia="宋体" w:cs="宋体"/>
          <w:color w:val="auto"/>
          <w:sz w:val="24"/>
          <w:szCs w:val="24"/>
        </w:rPr>
        <w:t>。</w:t>
      </w:r>
    </w:p>
    <w:p w14:paraId="7684E1B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承包人提交的竣工资料移交时间：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DA8E8D2">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承包人提交的竣工资料形式要求：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C9FE0FA">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（10）承包人应履行的其他义务：</w:t>
      </w:r>
      <w:r>
        <w:rPr>
          <w:rFonts w:hint="eastAsia" w:ascii="宋体" w:hAnsi="宋体" w:eastAsia="宋体" w:cs="宋体"/>
          <w:color w:val="auto"/>
          <w:kern w:val="0"/>
          <w:sz w:val="24"/>
          <w:szCs w:val="24"/>
          <w:u w:val="single"/>
        </w:rPr>
        <w:t>配合发包人保证工程通过相关部门验收</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C104B41">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 项目经理</w:t>
      </w:r>
    </w:p>
    <w:p w14:paraId="10B2C66B">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 xml:space="preserve">3.2.1 </w:t>
      </w:r>
      <w:r>
        <w:rPr>
          <w:rFonts w:hint="eastAsia" w:ascii="宋体" w:hAnsi="宋体" w:eastAsia="宋体" w:cs="宋体"/>
          <w:color w:val="auto"/>
          <w:sz w:val="24"/>
          <w:szCs w:val="24"/>
        </w:rPr>
        <w:t>项目经理：</w:t>
      </w:r>
    </w:p>
    <w:p w14:paraId="22DFAD3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DF01B8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2E674A6">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建造师执业资格等级：</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C900E12">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建造师注册证书号：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18B9B87B">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建造师执业印章号：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7E34CA95">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安全生产考核合格证书号：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A1F288B">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2864087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0BD4B6F">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5A0453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承包人对项目经理的授权范围如下：</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8565979">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关于项目经理每月在施工现场的时间要求：</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7A210840">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承包人未提交劳动合同，以及没有为项目经理缴纳社会保险证明的违约责任：</w:t>
      </w:r>
      <w:r>
        <w:rPr>
          <w:rFonts w:hint="eastAsia" w:ascii="宋体" w:hAnsi="宋体" w:eastAsia="宋体" w:cs="宋体"/>
          <w:color w:val="auto"/>
          <w:sz w:val="24"/>
          <w:szCs w:val="24"/>
          <w:u w:val="single"/>
        </w:rPr>
        <w:t xml:space="preserve">执行通用条款  </w:t>
      </w:r>
      <w:r>
        <w:rPr>
          <w:rFonts w:hint="eastAsia" w:ascii="宋体" w:hAnsi="宋体" w:eastAsia="宋体" w:cs="宋体"/>
          <w:color w:val="auto"/>
          <w:sz w:val="24"/>
          <w:szCs w:val="24"/>
        </w:rPr>
        <w:t>。</w:t>
      </w:r>
    </w:p>
    <w:p w14:paraId="129AF254">
      <w:pPr>
        <w:adjustRightInd w:val="0"/>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项目经理未经批准，擅自离开施工现场的违约责任：</w:t>
      </w:r>
      <w:r>
        <w:rPr>
          <w:rFonts w:hint="eastAsia" w:ascii="宋体" w:hAnsi="宋体" w:eastAsia="宋体" w:cs="宋体"/>
          <w:color w:val="auto"/>
          <w:sz w:val="24"/>
          <w:szCs w:val="24"/>
          <w:u w:val="single"/>
        </w:rPr>
        <w:t xml:space="preserve"> 每次处以违约金     元</w:t>
      </w:r>
      <w:r>
        <w:rPr>
          <w:rFonts w:hint="eastAsia" w:ascii="宋体" w:hAnsi="宋体" w:eastAsia="宋体" w:cs="宋体"/>
          <w:color w:val="auto"/>
          <w:sz w:val="24"/>
          <w:szCs w:val="24"/>
        </w:rPr>
        <w:t>。</w:t>
      </w:r>
    </w:p>
    <w:p w14:paraId="05F209E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3.2.3 承包人擅自更换项目经理的违约责任：</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2FBC4FEE">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3.2.4 承包人无正当理由拒绝更换项目经理的违约责任：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AD0BCDF">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 承包人人员</w:t>
      </w:r>
    </w:p>
    <w:p w14:paraId="0AE6154B">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3.3.1 承包人提交项目管理机构及施工现场管理人员安排报告的期限：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00F340B7">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3.3.3 承包人无正当理由拒绝撤换主要施工管理人员的违约责任：</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1D911EC">
      <w:pPr>
        <w:adjustRightInd w:val="0"/>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3.3.4 承包人主要施工管理人员离开施工现场的批准要求：</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009911EB">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3.3.5承包人擅自更换主要施工管理人员的违约责任：</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2B3143DC">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承包人主要施工管理人员擅自离开施工现场的违约责任：</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224322D">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50" w:name="_Toc312677988"/>
      <w:bookmarkStart w:id="51" w:name="_Toc296944498"/>
      <w:bookmarkStart w:id="52" w:name="_Toc296503159"/>
      <w:bookmarkStart w:id="53" w:name="_Toc292559364"/>
      <w:bookmarkStart w:id="54" w:name="_Toc304295523"/>
      <w:bookmarkStart w:id="55" w:name="_Toc303539102"/>
      <w:bookmarkStart w:id="56" w:name="_Toc296346660"/>
      <w:bookmarkStart w:id="57" w:name="_Toc292559869"/>
      <w:bookmarkStart w:id="58" w:name="_Toc296891199"/>
      <w:bookmarkStart w:id="59" w:name="_Toc297120459"/>
      <w:bookmarkStart w:id="60" w:name="_Toc300934945"/>
      <w:bookmarkStart w:id="61" w:name="_Toc297123492"/>
      <w:bookmarkStart w:id="62" w:name="_Toc296347158"/>
      <w:bookmarkStart w:id="63" w:name="_Toc297048345"/>
      <w:bookmarkStart w:id="64" w:name="_Toc296890987"/>
      <w:bookmarkStart w:id="65" w:name="_Toc297216151"/>
      <w:r>
        <w:rPr>
          <w:rFonts w:hint="eastAsia" w:ascii="宋体" w:hAnsi="宋体" w:eastAsia="宋体" w:cs="宋体"/>
          <w:color w:val="auto"/>
          <w:sz w:val="24"/>
          <w:szCs w:val="24"/>
        </w:rPr>
        <w:t>.5 分包</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62926572">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66" w:name="_Toc296891200"/>
      <w:bookmarkStart w:id="67" w:name="_Toc297216152"/>
      <w:bookmarkStart w:id="68" w:name="_Toc304295524"/>
      <w:bookmarkStart w:id="69" w:name="_Toc296890988"/>
      <w:bookmarkStart w:id="70" w:name="_Toc296944499"/>
      <w:bookmarkStart w:id="71" w:name="_Toc296347159"/>
      <w:bookmarkStart w:id="72" w:name="_Toc297123493"/>
      <w:bookmarkStart w:id="73" w:name="_Toc292559365"/>
      <w:bookmarkStart w:id="74" w:name="_Toc297120460"/>
      <w:bookmarkStart w:id="75" w:name="_Toc297048346"/>
      <w:bookmarkStart w:id="76" w:name="_Toc292559870"/>
      <w:bookmarkStart w:id="77" w:name="_Toc296503160"/>
      <w:bookmarkStart w:id="78" w:name="_Toc300934946"/>
      <w:bookmarkStart w:id="79" w:name="_Toc303539103"/>
      <w:bookmarkStart w:id="80" w:name="_Toc296346661"/>
      <w:bookmarkStart w:id="81" w:name="_Toc312677989"/>
      <w:bookmarkStart w:id="82" w:name="_Toc318581158"/>
      <w:r>
        <w:rPr>
          <w:rFonts w:hint="eastAsia" w:ascii="宋体" w:hAnsi="宋体" w:eastAsia="宋体" w:cs="宋体"/>
          <w:color w:val="auto"/>
          <w:sz w:val="24"/>
          <w:szCs w:val="24"/>
        </w:rPr>
        <w:t>.5.1 分包的一般约定</w:t>
      </w:r>
    </w:p>
    <w:p w14:paraId="47D4CCD8">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禁止分包的工程包括：</w:t>
      </w:r>
      <w:r>
        <w:rPr>
          <w:rFonts w:hint="eastAsia" w:ascii="宋体" w:hAnsi="宋体" w:eastAsia="宋体" w:cs="宋体"/>
          <w:color w:val="auto"/>
          <w:sz w:val="24"/>
          <w:szCs w:val="24"/>
          <w:u w:val="single"/>
        </w:rPr>
        <w:t xml:space="preserve">本工程不得分包    </w:t>
      </w:r>
      <w:r>
        <w:rPr>
          <w:rFonts w:hint="eastAsia" w:ascii="宋体" w:hAnsi="宋体" w:eastAsia="宋体" w:cs="宋体"/>
          <w:color w:val="auto"/>
          <w:sz w:val="24"/>
          <w:szCs w:val="24"/>
        </w:rPr>
        <w:t>。</w:t>
      </w:r>
    </w:p>
    <w:p w14:paraId="11EB23CB">
      <w:pPr>
        <w:adjustRightInd w:val="0"/>
        <w:snapToGrid w:val="0"/>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主体结构、关键性工作的范围：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Start w:id="83" w:name="_Toc296503161"/>
      <w:bookmarkStart w:id="84" w:name="_Toc297048347"/>
      <w:bookmarkStart w:id="85" w:name="_Toc297216153"/>
      <w:bookmarkStart w:id="86" w:name="_Toc296346662"/>
      <w:bookmarkStart w:id="87" w:name="_Toc304295525"/>
      <w:bookmarkStart w:id="88" w:name="_Toc297120461"/>
      <w:bookmarkStart w:id="89" w:name="_Toc296890989"/>
      <w:bookmarkStart w:id="90" w:name="_Toc303539104"/>
      <w:bookmarkStart w:id="91" w:name="_Toc296944500"/>
      <w:bookmarkStart w:id="92" w:name="_Toc296891201"/>
      <w:bookmarkStart w:id="93" w:name="_Toc300934947"/>
      <w:bookmarkStart w:id="94" w:name="_Toc297123494"/>
      <w:bookmarkStart w:id="95" w:name="_Toc296347160"/>
    </w:p>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4B8A79ED">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w:t>
      </w:r>
      <w:bookmarkStart w:id="96" w:name="_Toc318581159"/>
      <w:bookmarkStart w:id="97" w:name="_Toc312677990"/>
      <w:r>
        <w:rPr>
          <w:rFonts w:hint="eastAsia" w:ascii="宋体" w:hAnsi="宋体" w:eastAsia="宋体" w:cs="宋体"/>
          <w:color w:val="auto"/>
          <w:sz w:val="24"/>
          <w:szCs w:val="24"/>
        </w:rPr>
        <w:t>.5.2分包的确定</w:t>
      </w:r>
    </w:p>
    <w:p w14:paraId="06924F30">
      <w:pPr>
        <w:adjustRightInd w:val="0"/>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允许分包的专业工程包括：</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55BCF279">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其他关于分包的约定：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230807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3.5.4 分包合同价款</w:t>
      </w:r>
    </w:p>
    <w:p w14:paraId="0D11982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关于分包合同价款支付的约定：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bookmarkEnd w:id="96"/>
    <w:bookmarkEnd w:id="97"/>
    <w:p w14:paraId="4E04833A">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3.6 工程照管与成品、半成品保护</w:t>
      </w:r>
    </w:p>
    <w:p w14:paraId="2916EE53">
      <w:pPr>
        <w:adjustRightInd w:val="0"/>
        <w:snapToGrid w:val="0"/>
        <w:spacing w:before="120" w:after="120"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承包人负责照管工程及工程相关的材料、工程设备的起始时间：</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1E7BA017">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3.7 履约担保</w:t>
      </w:r>
    </w:p>
    <w:p w14:paraId="4F2D688E">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承包人是否提供履约担保：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是</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AD9EBF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承包人提供履约担保的形式、金额及期限的：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7144C23">
      <w:pPr>
        <w:adjustRightInd w:val="0"/>
        <w:snapToGrid w:val="0"/>
        <w:spacing w:line="360" w:lineRule="auto"/>
        <w:rPr>
          <w:rFonts w:hint="eastAsia" w:ascii="宋体" w:hAnsi="宋体" w:eastAsia="宋体" w:cs="宋体"/>
          <w:color w:val="auto"/>
          <w:sz w:val="24"/>
          <w:szCs w:val="24"/>
        </w:rPr>
      </w:pPr>
      <w:bookmarkStart w:id="98" w:name="_Toc351203636"/>
      <w:r>
        <w:rPr>
          <w:rFonts w:hint="eastAsia" w:ascii="宋体" w:hAnsi="宋体" w:eastAsia="宋体" w:cs="宋体"/>
          <w:color w:val="auto"/>
          <w:sz w:val="24"/>
          <w:szCs w:val="24"/>
        </w:rPr>
        <w:t>4</w:t>
      </w:r>
      <w:bookmarkStart w:id="99" w:name="_Toc296347161"/>
      <w:bookmarkStart w:id="100" w:name="_Toc296944501"/>
      <w:bookmarkStart w:id="101" w:name="_Toc292559871"/>
      <w:bookmarkStart w:id="102" w:name="_Toc297048348"/>
      <w:bookmarkStart w:id="103" w:name="_Toc296890990"/>
      <w:bookmarkStart w:id="104" w:name="_Toc292559366"/>
      <w:bookmarkStart w:id="105" w:name="_Toc267251413"/>
      <w:bookmarkStart w:id="106" w:name="_Toc297120462"/>
      <w:bookmarkStart w:id="107" w:name="_Toc296503162"/>
      <w:bookmarkStart w:id="108" w:name="_Toc296891202"/>
      <w:bookmarkStart w:id="109" w:name="_Toc296346663"/>
      <w:r>
        <w:rPr>
          <w:rFonts w:hint="eastAsia" w:ascii="宋体" w:hAnsi="宋体" w:eastAsia="宋体" w:cs="宋体"/>
          <w:color w:val="auto"/>
          <w:sz w:val="24"/>
          <w:szCs w:val="24"/>
        </w:rPr>
        <w:t xml:space="preserve">. </w:t>
      </w:r>
      <w:r>
        <w:rPr>
          <w:rFonts w:hint="eastAsia" w:ascii="宋体" w:hAnsi="宋体" w:eastAsia="宋体" w:cs="宋体"/>
          <w:color w:val="auto"/>
          <w:kern w:val="0"/>
          <w:sz w:val="24"/>
          <w:szCs w:val="24"/>
        </w:rPr>
        <w:t>监</w:t>
      </w:r>
      <w:bookmarkEnd w:id="99"/>
      <w:bookmarkEnd w:id="100"/>
      <w:bookmarkEnd w:id="101"/>
      <w:bookmarkEnd w:id="102"/>
      <w:bookmarkEnd w:id="103"/>
      <w:bookmarkEnd w:id="104"/>
      <w:bookmarkEnd w:id="105"/>
      <w:bookmarkEnd w:id="106"/>
      <w:bookmarkEnd w:id="107"/>
      <w:bookmarkEnd w:id="108"/>
      <w:bookmarkEnd w:id="109"/>
      <w:r>
        <w:rPr>
          <w:rFonts w:hint="eastAsia" w:ascii="宋体" w:hAnsi="宋体" w:eastAsia="宋体" w:cs="宋体"/>
          <w:color w:val="auto"/>
          <w:kern w:val="0"/>
          <w:sz w:val="24"/>
          <w:szCs w:val="24"/>
        </w:rPr>
        <w:t>理</w:t>
      </w:r>
      <w:r>
        <w:rPr>
          <w:rFonts w:hint="eastAsia" w:ascii="宋体" w:hAnsi="宋体" w:eastAsia="宋体" w:cs="宋体"/>
          <w:color w:val="auto"/>
          <w:sz w:val="24"/>
          <w:szCs w:val="24"/>
        </w:rPr>
        <w:t>人</w:t>
      </w:r>
      <w:bookmarkEnd w:id="98"/>
    </w:p>
    <w:p w14:paraId="13F1D0DD">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4.1监理人的一般规定</w:t>
      </w:r>
    </w:p>
    <w:p w14:paraId="3199B09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A45DE43">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关于监理人的监理权限：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D66F91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关于监理人在施工现场的办公场所、生活场所的提供和费用承担的约定：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AA7939D">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4.2 监理人员</w:t>
      </w:r>
    </w:p>
    <w:p w14:paraId="54202D5A">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总监理工程师：</w:t>
      </w:r>
    </w:p>
    <w:p w14:paraId="4542A59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798561A9">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5572D5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监理工程师执业资格证书号：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77AC0472">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9C442B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71246D4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19FC94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关于监理人的其他约定：</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EE63528">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4.4 商定或确定</w:t>
      </w:r>
    </w:p>
    <w:p w14:paraId="1DAB1152">
      <w:pPr>
        <w:adjustRightInd w:val="0"/>
        <w:snapToGrid w:val="0"/>
        <w:spacing w:line="360" w:lineRule="auto"/>
        <w:ind w:firstLine="480" w:firstLineChars="200"/>
        <w:rPr>
          <w:rFonts w:hint="eastAsia" w:ascii="宋体" w:hAnsi="宋体" w:eastAsia="宋体" w:cs="宋体"/>
          <w:color w:val="auto"/>
          <w:sz w:val="24"/>
          <w:szCs w:val="24"/>
        </w:rPr>
      </w:pPr>
      <w:bookmarkStart w:id="110" w:name="_Toc267251418"/>
      <w:r>
        <w:rPr>
          <w:rFonts w:hint="eastAsia" w:ascii="宋体" w:hAnsi="宋体" w:eastAsia="宋体" w:cs="宋体"/>
          <w:color w:val="auto"/>
          <w:sz w:val="24"/>
          <w:szCs w:val="24"/>
        </w:rPr>
        <w:t>在发包人和承包人不能通过协商达成一致意见时，发包人授权监理人对以下事项进行确定：</w:t>
      </w:r>
    </w:p>
    <w:p w14:paraId="09D0E51E">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01FA4B3">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7B81225">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1E87D04">
      <w:pPr>
        <w:adjustRightInd w:val="0"/>
        <w:snapToGrid w:val="0"/>
        <w:spacing w:line="360" w:lineRule="auto"/>
        <w:rPr>
          <w:rFonts w:hint="eastAsia" w:ascii="宋体" w:hAnsi="宋体" w:eastAsia="宋体" w:cs="宋体"/>
          <w:color w:val="auto"/>
          <w:sz w:val="24"/>
          <w:szCs w:val="24"/>
        </w:rPr>
      </w:pPr>
      <w:bookmarkStart w:id="111" w:name="_Toc351203637"/>
      <w:r>
        <w:rPr>
          <w:rFonts w:hint="eastAsia" w:ascii="宋体" w:hAnsi="宋体" w:eastAsia="宋体" w:cs="宋体"/>
          <w:color w:val="auto"/>
          <w:sz w:val="24"/>
          <w:szCs w:val="24"/>
        </w:rPr>
        <w:t>5</w:t>
      </w:r>
      <w:bookmarkEnd w:id="110"/>
      <w:bookmarkStart w:id="112" w:name="_Toc297120463"/>
      <w:bookmarkStart w:id="113" w:name="_Toc296503163"/>
      <w:bookmarkStart w:id="114" w:name="_Toc297048349"/>
      <w:bookmarkStart w:id="115" w:name="_Toc296890991"/>
      <w:bookmarkStart w:id="116" w:name="_Toc292559872"/>
      <w:bookmarkStart w:id="117" w:name="_Toc296944502"/>
      <w:bookmarkStart w:id="118" w:name="_Toc292559367"/>
      <w:bookmarkStart w:id="119" w:name="_Toc296891203"/>
      <w:bookmarkStart w:id="120" w:name="_Toc296346664"/>
      <w:bookmarkStart w:id="121" w:name="_Toc296347162"/>
      <w:r>
        <w:rPr>
          <w:rFonts w:hint="eastAsia" w:ascii="宋体" w:hAnsi="宋体" w:eastAsia="宋体" w:cs="宋体"/>
          <w:color w:val="auto"/>
          <w:sz w:val="24"/>
          <w:szCs w:val="24"/>
        </w:rPr>
        <w:t>. 工程</w:t>
      </w:r>
      <w:r>
        <w:rPr>
          <w:rFonts w:hint="eastAsia" w:ascii="宋体" w:hAnsi="宋体" w:eastAsia="宋体" w:cs="宋体"/>
          <w:color w:val="auto"/>
          <w:kern w:val="0"/>
          <w:sz w:val="24"/>
          <w:szCs w:val="24"/>
        </w:rPr>
        <w:t>质量</w:t>
      </w:r>
      <w:bookmarkEnd w:id="111"/>
    </w:p>
    <w:p w14:paraId="2DD5D368">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5.1 质量要求</w:t>
      </w:r>
    </w:p>
    <w:p w14:paraId="18EC16E2">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5</w:t>
      </w:r>
      <w:bookmarkStart w:id="122" w:name="_Toc318581164"/>
      <w:bookmarkStart w:id="123" w:name="_Toc304295527"/>
      <w:bookmarkStart w:id="124" w:name="_Toc297216155"/>
      <w:bookmarkStart w:id="125" w:name="_Toc303539106"/>
      <w:bookmarkStart w:id="126" w:name="_Toc312677997"/>
      <w:bookmarkStart w:id="127" w:name="_Toc300934949"/>
      <w:bookmarkStart w:id="128" w:name="_Toc297123496"/>
      <w:r>
        <w:rPr>
          <w:rFonts w:hint="eastAsia" w:ascii="宋体" w:hAnsi="宋体" w:eastAsia="宋体" w:cs="宋体"/>
          <w:color w:val="auto"/>
          <w:sz w:val="24"/>
          <w:szCs w:val="24"/>
        </w:rPr>
        <w:t>.1.1 特殊质量标准和要求：</w:t>
      </w:r>
      <w:r>
        <w:rPr>
          <w:rFonts w:hint="eastAsia" w:ascii="宋体" w:hAnsi="宋体" w:eastAsia="宋体" w:cs="宋体"/>
          <w:color w:val="auto"/>
          <w:sz w:val="24"/>
          <w:szCs w:val="24"/>
          <w:u w:val="single"/>
        </w:rPr>
        <w:t xml:space="preserve">    无     </w:t>
      </w:r>
      <w:r>
        <w:rPr>
          <w:rFonts w:hint="eastAsia" w:ascii="宋体" w:hAnsi="宋体" w:eastAsia="宋体" w:cs="宋体"/>
          <w:color w:val="auto"/>
          <w:sz w:val="24"/>
          <w:szCs w:val="24"/>
        </w:rPr>
        <w:t>。</w:t>
      </w:r>
    </w:p>
    <w:p w14:paraId="02D24EB0">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关于工程奖项的约定：</w:t>
      </w:r>
      <w:r>
        <w:rPr>
          <w:rFonts w:hint="eastAsia" w:ascii="宋体" w:hAnsi="宋体" w:eastAsia="宋体" w:cs="宋体"/>
          <w:color w:val="auto"/>
          <w:sz w:val="24"/>
          <w:szCs w:val="24"/>
          <w:u w:val="single"/>
        </w:rPr>
        <w:t xml:space="preserve">   无        </w:t>
      </w:r>
      <w:r>
        <w:rPr>
          <w:rFonts w:hint="eastAsia" w:ascii="宋体" w:hAnsi="宋体" w:eastAsia="宋体" w:cs="宋体"/>
          <w:color w:val="auto"/>
          <w:sz w:val="24"/>
          <w:szCs w:val="24"/>
        </w:rPr>
        <w:t>。</w:t>
      </w:r>
    </w:p>
    <w:p w14:paraId="59B1D732">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5.3 隐蔽</w:t>
      </w:r>
      <w:r>
        <w:rPr>
          <w:rFonts w:hint="eastAsia" w:ascii="宋体" w:hAnsi="宋体" w:eastAsia="宋体" w:cs="宋体"/>
          <w:color w:val="auto"/>
          <w:kern w:val="0"/>
          <w:sz w:val="24"/>
          <w:szCs w:val="24"/>
        </w:rPr>
        <w:t>工程</w:t>
      </w:r>
      <w:r>
        <w:rPr>
          <w:rFonts w:hint="eastAsia" w:ascii="宋体" w:hAnsi="宋体" w:eastAsia="宋体" w:cs="宋体"/>
          <w:color w:val="auto"/>
          <w:sz w:val="24"/>
          <w:szCs w:val="24"/>
        </w:rPr>
        <w:t>检查</w:t>
      </w:r>
    </w:p>
    <w:p w14:paraId="48A41E4C">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5.3.2承包人提前通知监理人隐蔽工程检查的期限的约定：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2D9632C8">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监理人不能按时进行检查时，应提前</w:t>
      </w:r>
      <w:r>
        <w:rPr>
          <w:rFonts w:hint="eastAsia" w:ascii="宋体" w:hAnsi="宋体" w:eastAsia="宋体" w:cs="宋体"/>
          <w:color w:val="auto"/>
          <w:sz w:val="24"/>
          <w:szCs w:val="24"/>
          <w:u w:val="single"/>
        </w:rPr>
        <w:t xml:space="preserve">  12  </w:t>
      </w:r>
      <w:r>
        <w:rPr>
          <w:rFonts w:hint="eastAsia" w:ascii="宋体" w:hAnsi="宋体" w:eastAsia="宋体" w:cs="宋体"/>
          <w:color w:val="auto"/>
          <w:sz w:val="24"/>
          <w:szCs w:val="24"/>
        </w:rPr>
        <w:t>小时提交书面延期要求。</w:t>
      </w:r>
    </w:p>
    <w:p w14:paraId="15CA85B1">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24   </w:t>
      </w:r>
      <w:r>
        <w:rPr>
          <w:rFonts w:hint="eastAsia" w:ascii="宋体" w:hAnsi="宋体" w:eastAsia="宋体" w:cs="宋体"/>
          <w:color w:val="auto"/>
          <w:sz w:val="24"/>
          <w:szCs w:val="24"/>
        </w:rPr>
        <w:t>小时。</w:t>
      </w:r>
    </w:p>
    <w:p w14:paraId="7143AD1D">
      <w:pPr>
        <w:adjustRightInd w:val="0"/>
        <w:snapToGrid w:val="0"/>
        <w:spacing w:line="360" w:lineRule="auto"/>
        <w:rPr>
          <w:rFonts w:hint="eastAsia" w:ascii="宋体" w:hAnsi="宋体" w:eastAsia="宋体" w:cs="宋体"/>
          <w:color w:val="auto"/>
          <w:sz w:val="24"/>
          <w:szCs w:val="24"/>
        </w:rPr>
      </w:pPr>
      <w:bookmarkStart w:id="129" w:name="_Toc351203638"/>
      <w:r>
        <w:rPr>
          <w:rFonts w:hint="eastAsia" w:ascii="宋体" w:hAnsi="宋体" w:eastAsia="宋体" w:cs="宋体"/>
          <w:color w:val="auto"/>
          <w:sz w:val="24"/>
          <w:szCs w:val="24"/>
        </w:rPr>
        <w:t>6. 安全文明施工与环境保护</w:t>
      </w:r>
      <w:bookmarkEnd w:id="129"/>
    </w:p>
    <w:p w14:paraId="6619BCEC">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6.1安全文明施工</w:t>
      </w:r>
    </w:p>
    <w:p w14:paraId="11592E51">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6.1.1 项目安全生产的达标目标及相应事项的约定：</w:t>
      </w:r>
      <w:r>
        <w:rPr>
          <w:rFonts w:hint="eastAsia" w:ascii="宋体" w:hAnsi="宋体" w:eastAsia="宋体" w:cs="宋体"/>
          <w:color w:val="auto"/>
          <w:sz w:val="24"/>
          <w:szCs w:val="24"/>
          <w:u w:val="single"/>
        </w:rPr>
        <w:t>要求：1.乙方不得将所承包工程的任何部分分包给他人；</w:t>
      </w:r>
    </w:p>
    <w:p w14:paraId="1BCB0D25">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2.自甲乙双方签订合同之日起，至本工程竣工验收结束之日止，施工所涉及区域的安全责任由乙方负责，所发生的人身伤亡和财产损失均由乙方负责。</w:t>
      </w:r>
    </w:p>
    <w:p w14:paraId="1695AABE">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3.施工现场的环境卫生标准、噪声标准应满足国家有关规定，施工中因违反规定造成的损失和发生的费用由乙方负责。施工产生的建筑垃圾由乙方负责清理；</w:t>
      </w:r>
    </w:p>
    <w:p w14:paraId="0E7BB38E">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4.若因乙方原因不能按合同履约，甲方有权终止合同，与招标时排序第二名的中标候选人另行签订施工合同或重新进行招标；</w:t>
      </w:r>
    </w:p>
    <w:p w14:paraId="65E3BDA7">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5.乙方负责办理与本工程施工相关的一切保险和备案审批手续并承担相关费用。</w:t>
      </w:r>
    </w:p>
    <w:p w14:paraId="29F20498">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6.1.4 关于治安保卫的特别约定：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4E62808">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关于编制施工场地治安管理计划的约定：</w:t>
      </w:r>
      <w:r>
        <w:rPr>
          <w:rFonts w:hint="eastAsia" w:ascii="宋体" w:hAnsi="宋体" w:eastAsia="宋体" w:cs="宋体"/>
          <w:color w:val="auto"/>
          <w:sz w:val="24"/>
          <w:szCs w:val="24"/>
          <w:u w:val="single"/>
        </w:rPr>
        <w:t xml:space="preserve">   执行通用条款     </w:t>
      </w:r>
      <w:r>
        <w:rPr>
          <w:rFonts w:hint="eastAsia" w:ascii="宋体" w:hAnsi="宋体" w:eastAsia="宋体" w:cs="宋体"/>
          <w:color w:val="auto"/>
          <w:sz w:val="24"/>
          <w:szCs w:val="24"/>
        </w:rPr>
        <w:t>。</w:t>
      </w:r>
    </w:p>
    <w:p w14:paraId="0814A49C">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6.1.5 文明施工</w:t>
      </w:r>
    </w:p>
    <w:p w14:paraId="4CDE2915">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合同当事人对文明施工的要求：</w:t>
      </w:r>
      <w:r>
        <w:rPr>
          <w:rFonts w:hint="eastAsia" w:ascii="宋体" w:hAnsi="宋体" w:eastAsia="宋体" w:cs="宋体"/>
          <w:color w:val="auto"/>
          <w:sz w:val="24"/>
          <w:szCs w:val="24"/>
          <w:u w:val="single"/>
        </w:rPr>
        <w:t xml:space="preserve"> 执行通用条款     </w:t>
      </w:r>
      <w:r>
        <w:rPr>
          <w:rFonts w:hint="eastAsia" w:ascii="宋体" w:hAnsi="宋体" w:eastAsia="宋体" w:cs="宋体"/>
          <w:color w:val="auto"/>
          <w:sz w:val="24"/>
          <w:szCs w:val="24"/>
        </w:rPr>
        <w:t>。</w:t>
      </w:r>
    </w:p>
    <w:p w14:paraId="1E9C513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6.1.6 关于安全文明施工费支付比例和支付期限的约定：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5AAC30">
      <w:pPr>
        <w:pStyle w:val="22"/>
        <w:ind w:left="640" w:firstLine="480"/>
        <w:rPr>
          <w:rFonts w:hint="eastAsia" w:ascii="宋体" w:hAnsi="宋体" w:cs="宋体"/>
          <w:color w:val="auto"/>
          <w:sz w:val="24"/>
          <w:szCs w:val="24"/>
        </w:rPr>
      </w:pPr>
      <w:r>
        <w:rPr>
          <w:rFonts w:hint="eastAsia" w:ascii="宋体" w:hAnsi="宋体" w:cs="宋体"/>
          <w:color w:val="auto"/>
          <w:sz w:val="24"/>
          <w:szCs w:val="24"/>
        </w:rPr>
        <w:t>6.1.7</w:t>
      </w:r>
    </w:p>
    <w:bookmarkEnd w:id="122"/>
    <w:bookmarkEnd w:id="123"/>
    <w:bookmarkEnd w:id="124"/>
    <w:bookmarkEnd w:id="125"/>
    <w:bookmarkEnd w:id="126"/>
    <w:bookmarkEnd w:id="127"/>
    <w:bookmarkEnd w:id="128"/>
    <w:p w14:paraId="163EC6CD">
      <w:pPr>
        <w:adjustRightInd w:val="0"/>
        <w:snapToGrid w:val="0"/>
        <w:spacing w:line="360" w:lineRule="auto"/>
        <w:rPr>
          <w:rFonts w:hint="eastAsia" w:ascii="宋体" w:hAnsi="宋体" w:eastAsia="宋体" w:cs="宋体"/>
          <w:color w:val="auto"/>
          <w:sz w:val="24"/>
          <w:szCs w:val="24"/>
        </w:rPr>
      </w:pPr>
      <w:bookmarkStart w:id="130" w:name="_Toc351203639"/>
      <w:r>
        <w:rPr>
          <w:rFonts w:hint="eastAsia" w:ascii="宋体" w:hAnsi="宋体" w:eastAsia="宋体" w:cs="宋体"/>
          <w:color w:val="auto"/>
          <w:sz w:val="24"/>
          <w:szCs w:val="24"/>
        </w:rPr>
        <w:t>7. 工期和</w:t>
      </w:r>
      <w:r>
        <w:rPr>
          <w:rFonts w:hint="eastAsia" w:ascii="宋体" w:hAnsi="宋体" w:eastAsia="宋体" w:cs="宋体"/>
          <w:color w:val="auto"/>
          <w:kern w:val="0"/>
          <w:sz w:val="24"/>
          <w:szCs w:val="24"/>
        </w:rPr>
        <w:t>进度</w:t>
      </w:r>
      <w:bookmarkEnd w:id="130"/>
    </w:p>
    <w:p w14:paraId="71C26746">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施工组织设计</w:t>
      </w:r>
    </w:p>
    <w:p w14:paraId="43027BB6">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7.1.1 合</w:t>
      </w:r>
      <w:r>
        <w:rPr>
          <w:rFonts w:hint="eastAsia" w:ascii="宋体" w:hAnsi="宋体" w:eastAsia="宋体" w:cs="宋体"/>
          <w:color w:val="auto"/>
          <w:kern w:val="0"/>
          <w:sz w:val="24"/>
          <w:szCs w:val="24"/>
        </w:rPr>
        <w:t>同当事人约定的施工组织设计应包括的其他内容：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9CFBC39">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 xml:space="preserve">7.1.2 </w:t>
      </w:r>
      <w:r>
        <w:rPr>
          <w:rFonts w:hint="eastAsia" w:ascii="宋体" w:hAnsi="宋体" w:eastAsia="宋体" w:cs="宋体"/>
          <w:color w:val="auto"/>
          <w:kern w:val="0"/>
          <w:sz w:val="24"/>
          <w:szCs w:val="24"/>
        </w:rPr>
        <w:t>施工组织设计的提交和修改</w:t>
      </w:r>
    </w:p>
    <w:p w14:paraId="42CC4F69">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承包人提交详细施工组织设计的期限的约定：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200DC2E">
      <w:pPr>
        <w:adjustRightInd w:val="0"/>
        <w:snapToGrid w:val="0"/>
        <w:spacing w:line="360" w:lineRule="auto"/>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发包人和监理人在收到详细的施工组织设计后确认或提出修改意见的期限：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9A5CFD3">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131" w:name="_Toc300934966"/>
      <w:bookmarkStart w:id="132" w:name="_Toc304295541"/>
      <w:bookmarkStart w:id="133" w:name="_Toc312677479"/>
      <w:bookmarkStart w:id="134" w:name="_Toc297123514"/>
      <w:bookmarkStart w:id="135" w:name="_Toc312678005"/>
      <w:bookmarkStart w:id="136" w:name="_Toc297216173"/>
      <w:bookmarkStart w:id="137" w:name="_Toc303539123"/>
      <w:r>
        <w:rPr>
          <w:rFonts w:hint="eastAsia" w:ascii="宋体" w:hAnsi="宋体" w:eastAsia="宋体" w:cs="宋体"/>
          <w:color w:val="auto"/>
          <w:sz w:val="24"/>
          <w:szCs w:val="24"/>
        </w:rPr>
        <w:t>.2 施工进度计划</w:t>
      </w:r>
    </w:p>
    <w:p w14:paraId="25B259B7">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7.2.2 施工进度计划的修订</w:t>
      </w:r>
    </w:p>
    <w:p w14:paraId="55FFD9E3">
      <w:pPr>
        <w:adjustRightInd w:val="0"/>
        <w:snapToGrid w:val="0"/>
        <w:spacing w:line="360" w:lineRule="auto"/>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发包人和监理人在收到修订的施工进度计划后确认或提出修改意见的期限：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65BB5160">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7.3 开工</w:t>
      </w:r>
    </w:p>
    <w:p w14:paraId="5CA815BE">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7.3.1 开工准备</w:t>
      </w:r>
    </w:p>
    <w:p w14:paraId="0080CB87">
      <w:pPr>
        <w:adjustRightInd w:val="0"/>
        <w:snapToGrid w:val="0"/>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关于承包人提交</w:t>
      </w:r>
      <w:r>
        <w:rPr>
          <w:rFonts w:hint="eastAsia" w:ascii="宋体" w:hAnsi="宋体" w:eastAsia="宋体" w:cs="宋体"/>
          <w:color w:val="auto"/>
          <w:kern w:val="0"/>
          <w:sz w:val="24"/>
          <w:szCs w:val="24"/>
        </w:rPr>
        <w:t>工程开工报审表的期限：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0D48CF41">
      <w:pPr>
        <w:adjustRightInd w:val="0"/>
        <w:snapToGrid w:val="0"/>
        <w:spacing w:line="360" w:lineRule="auto"/>
        <w:ind w:firstLine="645"/>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关于发包人应完成的其他开工准备工作及期限：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5BB469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关于承包人应完成的其他开工准备工作及期限：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60D766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7.3.2开工通知</w:t>
      </w:r>
    </w:p>
    <w:p w14:paraId="55DCEB5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因发包人原因造成监理人未能在计划开工日期之日起</w:t>
      </w:r>
      <w:r>
        <w:rPr>
          <w:rFonts w:hint="eastAsia" w:ascii="宋体" w:hAnsi="宋体" w:eastAsia="宋体" w:cs="宋体"/>
          <w:color w:val="auto"/>
          <w:sz w:val="24"/>
          <w:szCs w:val="24"/>
          <w:u w:val="single"/>
        </w:rPr>
        <w:t xml:space="preserve"> 28 </w:t>
      </w:r>
      <w:r>
        <w:rPr>
          <w:rFonts w:hint="eastAsia" w:ascii="宋体" w:hAnsi="宋体" w:eastAsia="宋体" w:cs="宋体"/>
          <w:color w:val="auto"/>
          <w:sz w:val="24"/>
          <w:szCs w:val="24"/>
        </w:rPr>
        <w:t>天内发出开工通知的，承包人有权提出价格调整要求，或者解除合同。</w:t>
      </w:r>
    </w:p>
    <w:bookmarkEnd w:id="131"/>
    <w:bookmarkEnd w:id="132"/>
    <w:bookmarkEnd w:id="133"/>
    <w:bookmarkEnd w:id="134"/>
    <w:bookmarkEnd w:id="135"/>
    <w:bookmarkEnd w:id="136"/>
    <w:bookmarkEnd w:id="137"/>
    <w:p w14:paraId="66010A75">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7.4 测量放线</w:t>
      </w:r>
    </w:p>
    <w:p w14:paraId="7E7D9FBB">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7.4.1发包人通过监理人向承包人提供测量基准点、基准线和水准点及其书面资料的期限：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150677D">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138" w:name="_Toc312678010"/>
      <w:bookmarkStart w:id="139" w:name="_Toc303539125"/>
      <w:bookmarkStart w:id="140" w:name="_Toc300934968"/>
      <w:bookmarkStart w:id="141" w:name="_Toc312677484"/>
      <w:bookmarkStart w:id="142" w:name="_Toc304295546"/>
      <w:bookmarkStart w:id="143" w:name="_Toc297216175"/>
      <w:bookmarkStart w:id="144" w:name="_Toc297123516"/>
      <w:r>
        <w:rPr>
          <w:rFonts w:hint="eastAsia" w:ascii="宋体" w:hAnsi="宋体" w:eastAsia="宋体" w:cs="宋体"/>
          <w:color w:val="auto"/>
          <w:sz w:val="24"/>
          <w:szCs w:val="24"/>
        </w:rPr>
        <w:t>.5 工期延误</w:t>
      </w:r>
    </w:p>
    <w:bookmarkEnd w:id="138"/>
    <w:bookmarkEnd w:id="139"/>
    <w:bookmarkEnd w:id="140"/>
    <w:bookmarkEnd w:id="141"/>
    <w:bookmarkEnd w:id="142"/>
    <w:bookmarkEnd w:id="143"/>
    <w:bookmarkEnd w:id="144"/>
    <w:p w14:paraId="1E00235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7.5.1 因发包人原因导致工期延误</w:t>
      </w:r>
    </w:p>
    <w:p w14:paraId="778C141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（7）因发包人原因导致工期延误的其他情形：</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92112F0">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145" w:name="_Toc312677486"/>
      <w:bookmarkStart w:id="146" w:name="_Toc318581169"/>
      <w:bookmarkStart w:id="147" w:name="_Toc312678012"/>
      <w:bookmarkStart w:id="148" w:name="_Toc303539127"/>
      <w:bookmarkStart w:id="149" w:name="_Toc304295548"/>
      <w:bookmarkStart w:id="150" w:name="_Toc297123518"/>
      <w:bookmarkStart w:id="151" w:name="_Toc300934970"/>
      <w:bookmarkStart w:id="152" w:name="_Toc297216177"/>
      <w:r>
        <w:rPr>
          <w:rFonts w:hint="eastAsia" w:ascii="宋体" w:hAnsi="宋体" w:eastAsia="宋体" w:cs="宋体"/>
          <w:color w:val="auto"/>
          <w:sz w:val="24"/>
          <w:szCs w:val="24"/>
        </w:rPr>
        <w:t>.5.2 因承包人原因导致工期延误</w:t>
      </w:r>
    </w:p>
    <w:bookmarkEnd w:id="145"/>
    <w:bookmarkEnd w:id="146"/>
    <w:bookmarkEnd w:id="147"/>
    <w:p w14:paraId="761A32DC">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w:t>
      </w:r>
      <w:bookmarkStart w:id="153" w:name="_Toc312678013"/>
      <w:bookmarkStart w:id="154" w:name="_Toc312677487"/>
      <w:bookmarkStart w:id="155" w:name="_Toc318581170"/>
      <w:r>
        <w:rPr>
          <w:rFonts w:hint="eastAsia" w:ascii="宋体" w:hAnsi="宋体" w:eastAsia="宋体" w:cs="宋体"/>
          <w:color w:val="auto"/>
          <w:sz w:val="24"/>
          <w:szCs w:val="24"/>
        </w:rPr>
        <w:t>承包人原因造成工期延误，逾期竣工违约金的计算方法为：</w:t>
      </w:r>
      <w:r>
        <w:rPr>
          <w:rFonts w:hint="eastAsia" w:ascii="宋体" w:hAnsi="宋体" w:eastAsia="宋体" w:cs="宋体"/>
          <w:color w:val="auto"/>
          <w:sz w:val="24"/>
          <w:szCs w:val="24"/>
          <w:u w:val="single"/>
        </w:rPr>
        <w:t xml:space="preserve">   每超一天罚款500元   </w:t>
      </w:r>
      <w:r>
        <w:rPr>
          <w:rFonts w:hint="eastAsia" w:ascii="宋体" w:hAnsi="宋体" w:eastAsia="宋体" w:cs="宋体"/>
          <w:color w:val="auto"/>
          <w:sz w:val="24"/>
          <w:szCs w:val="24"/>
        </w:rPr>
        <w:t>。</w:t>
      </w:r>
      <w:bookmarkEnd w:id="148"/>
      <w:bookmarkEnd w:id="149"/>
      <w:bookmarkEnd w:id="150"/>
      <w:bookmarkEnd w:id="151"/>
      <w:bookmarkEnd w:id="152"/>
      <w:bookmarkEnd w:id="153"/>
      <w:bookmarkEnd w:id="154"/>
    </w:p>
    <w:bookmarkEnd w:id="155"/>
    <w:p w14:paraId="1A7C7CE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因承包人原因造成工期延误，逾</w:t>
      </w:r>
      <w:bookmarkStart w:id="156" w:name="_Toc312678014"/>
      <w:bookmarkStart w:id="157" w:name="_Toc318581171"/>
      <w:r>
        <w:rPr>
          <w:rFonts w:hint="eastAsia" w:ascii="宋体" w:hAnsi="宋体" w:eastAsia="宋体" w:cs="宋体"/>
          <w:color w:val="auto"/>
          <w:sz w:val="24"/>
          <w:szCs w:val="24"/>
        </w:rPr>
        <w:t>期竣工违约金的上限：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bookmarkEnd w:id="156"/>
    <w:bookmarkEnd w:id="157"/>
    <w:p w14:paraId="2D4CE8FC">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158" w:name="_Toc297216178"/>
      <w:bookmarkStart w:id="159" w:name="_Toc312678015"/>
      <w:bookmarkStart w:id="160" w:name="_Toc300934971"/>
      <w:bookmarkStart w:id="161" w:name="_Toc297123519"/>
      <w:bookmarkStart w:id="162" w:name="_Toc303539128"/>
      <w:bookmarkStart w:id="163" w:name="_Toc304295549"/>
      <w:r>
        <w:rPr>
          <w:rFonts w:hint="eastAsia" w:ascii="宋体" w:hAnsi="宋体" w:eastAsia="宋体" w:cs="宋体"/>
          <w:color w:val="auto"/>
          <w:sz w:val="24"/>
          <w:szCs w:val="24"/>
        </w:rPr>
        <w:t>.6 不</w:t>
      </w:r>
      <w:bookmarkEnd w:id="158"/>
      <w:bookmarkEnd w:id="159"/>
      <w:bookmarkEnd w:id="160"/>
      <w:bookmarkEnd w:id="161"/>
      <w:bookmarkEnd w:id="162"/>
      <w:bookmarkEnd w:id="163"/>
      <w:r>
        <w:rPr>
          <w:rFonts w:hint="eastAsia" w:ascii="宋体" w:hAnsi="宋体" w:eastAsia="宋体" w:cs="宋体"/>
          <w:color w:val="auto"/>
          <w:sz w:val="24"/>
          <w:szCs w:val="24"/>
        </w:rPr>
        <w:t>利物质条件</w:t>
      </w:r>
    </w:p>
    <w:p w14:paraId="4FCE20AD">
      <w:pPr>
        <w:adjustRightInd w:val="0"/>
        <w:snapToGrid w:val="0"/>
        <w:spacing w:line="360" w:lineRule="auto"/>
        <w:ind w:firstLine="480" w:firstLineChars="200"/>
        <w:jc w:val="left"/>
        <w:rPr>
          <w:rFonts w:hint="eastAsia" w:ascii="宋体" w:hAnsi="宋体" w:eastAsia="宋体" w:cs="宋体"/>
          <w:color w:val="auto"/>
          <w:sz w:val="24"/>
          <w:szCs w:val="24"/>
        </w:rPr>
      </w:pPr>
      <w:bookmarkStart w:id="164" w:name="_Toc304295550"/>
      <w:bookmarkStart w:id="165" w:name="_Toc300934972"/>
      <w:bookmarkStart w:id="166" w:name="_Toc312678016"/>
      <w:bookmarkStart w:id="167" w:name="_Toc297216179"/>
      <w:bookmarkStart w:id="168" w:name="_Toc303539129"/>
      <w:bookmarkStart w:id="169" w:name="_Toc297123520"/>
      <w:bookmarkStart w:id="170" w:name="_Toc318581172"/>
      <w:r>
        <w:rPr>
          <w:rFonts w:hint="eastAsia" w:ascii="宋体" w:hAnsi="宋体" w:eastAsia="宋体" w:cs="宋体"/>
          <w:color w:val="auto"/>
          <w:sz w:val="24"/>
          <w:szCs w:val="24"/>
        </w:rPr>
        <w:t>不利物质条件的其他情形和有关约定：</w:t>
      </w:r>
      <w:r>
        <w:rPr>
          <w:rFonts w:hint="eastAsia" w:ascii="宋体" w:hAnsi="宋体" w:eastAsia="宋体" w:cs="宋体"/>
          <w:color w:val="auto"/>
          <w:sz w:val="24"/>
          <w:szCs w:val="24"/>
          <w:u w:val="single"/>
        </w:rPr>
        <w:t xml:space="preserve">   执行通用条款      </w:t>
      </w:r>
      <w:r>
        <w:rPr>
          <w:rFonts w:hint="eastAsia" w:ascii="宋体" w:hAnsi="宋体" w:eastAsia="宋体" w:cs="宋体"/>
          <w:color w:val="auto"/>
          <w:sz w:val="24"/>
          <w:szCs w:val="24"/>
        </w:rPr>
        <w:t>。</w:t>
      </w:r>
    </w:p>
    <w:bookmarkEnd w:id="164"/>
    <w:bookmarkEnd w:id="165"/>
    <w:bookmarkEnd w:id="166"/>
    <w:bookmarkEnd w:id="167"/>
    <w:bookmarkEnd w:id="168"/>
    <w:bookmarkEnd w:id="169"/>
    <w:bookmarkEnd w:id="170"/>
    <w:p w14:paraId="173BB12B">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171" w:name="_Toc297123521"/>
      <w:bookmarkStart w:id="172" w:name="_Toc304295551"/>
      <w:bookmarkStart w:id="173" w:name="_Toc312678017"/>
      <w:bookmarkStart w:id="174" w:name="_Toc300934973"/>
      <w:bookmarkStart w:id="175" w:name="_Toc297216180"/>
      <w:bookmarkStart w:id="176" w:name="_Toc303539130"/>
      <w:r>
        <w:rPr>
          <w:rFonts w:hint="eastAsia" w:ascii="宋体" w:hAnsi="宋体" w:eastAsia="宋体" w:cs="宋体"/>
          <w:color w:val="auto"/>
          <w:sz w:val="24"/>
          <w:szCs w:val="24"/>
        </w:rPr>
        <w:t>.7异常恶劣的气候条件</w:t>
      </w:r>
    </w:p>
    <w:bookmarkEnd w:id="171"/>
    <w:bookmarkEnd w:id="172"/>
    <w:bookmarkEnd w:id="173"/>
    <w:bookmarkEnd w:id="174"/>
    <w:bookmarkEnd w:id="175"/>
    <w:bookmarkEnd w:id="176"/>
    <w:p w14:paraId="674C76B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发包人和承包人同意以下情形视为异常恶劣的气候条件：</w:t>
      </w:r>
    </w:p>
    <w:p w14:paraId="42E81B0E">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5964FE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FAB1183">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93D97A5">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7.9 提前</w:t>
      </w:r>
      <w:r>
        <w:rPr>
          <w:rFonts w:hint="eastAsia" w:ascii="宋体" w:hAnsi="宋体" w:eastAsia="宋体" w:cs="宋体"/>
          <w:color w:val="auto"/>
          <w:kern w:val="0"/>
          <w:sz w:val="24"/>
          <w:szCs w:val="24"/>
        </w:rPr>
        <w:t>竣工</w:t>
      </w:r>
      <w:r>
        <w:rPr>
          <w:rFonts w:hint="eastAsia" w:ascii="宋体" w:hAnsi="宋体" w:eastAsia="宋体" w:cs="宋体"/>
          <w:color w:val="auto"/>
          <w:sz w:val="24"/>
          <w:szCs w:val="24"/>
        </w:rPr>
        <w:t>的奖励</w:t>
      </w:r>
    </w:p>
    <w:p w14:paraId="32E4A193">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7.9.2提前竣工的奖励：</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BA88CE7">
      <w:pPr>
        <w:adjustRightInd w:val="0"/>
        <w:snapToGrid w:val="0"/>
        <w:spacing w:line="360" w:lineRule="auto"/>
        <w:rPr>
          <w:rFonts w:hint="eastAsia" w:ascii="宋体" w:hAnsi="宋体" w:eastAsia="宋体" w:cs="宋体"/>
          <w:color w:val="auto"/>
          <w:sz w:val="24"/>
          <w:szCs w:val="24"/>
        </w:rPr>
      </w:pPr>
      <w:bookmarkStart w:id="177" w:name="_Toc351203640"/>
      <w:r>
        <w:rPr>
          <w:rFonts w:hint="eastAsia" w:ascii="宋体" w:hAnsi="宋体" w:eastAsia="宋体" w:cs="宋体"/>
          <w:color w:val="auto"/>
          <w:sz w:val="24"/>
          <w:szCs w:val="24"/>
        </w:rPr>
        <w:t>8. 材料与设备</w:t>
      </w:r>
      <w:bookmarkEnd w:id="177"/>
    </w:p>
    <w:bookmarkEnd w:id="112"/>
    <w:bookmarkEnd w:id="113"/>
    <w:bookmarkEnd w:id="114"/>
    <w:bookmarkEnd w:id="115"/>
    <w:bookmarkEnd w:id="116"/>
    <w:bookmarkEnd w:id="117"/>
    <w:bookmarkEnd w:id="118"/>
    <w:bookmarkEnd w:id="119"/>
    <w:bookmarkEnd w:id="120"/>
    <w:bookmarkEnd w:id="121"/>
    <w:p w14:paraId="41A77684">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w:t>
      </w:r>
      <w:bookmarkStart w:id="178" w:name="_Toc303539136"/>
      <w:bookmarkStart w:id="179" w:name="_Toc297048353"/>
      <w:bookmarkStart w:id="180" w:name="_Toc296891207"/>
      <w:bookmarkStart w:id="181" w:name="_Toc280868654"/>
      <w:bookmarkStart w:id="182" w:name="_Toc297123527"/>
      <w:bookmarkStart w:id="183" w:name="_Toc292559877"/>
      <w:bookmarkStart w:id="184" w:name="_Toc296890995"/>
      <w:bookmarkStart w:id="185" w:name="_Toc296347166"/>
      <w:bookmarkStart w:id="186" w:name="_Toc296944506"/>
      <w:bookmarkStart w:id="187" w:name="_Toc300934979"/>
      <w:bookmarkStart w:id="188" w:name="_Toc304295556"/>
      <w:bookmarkStart w:id="189" w:name="_Toc312677493"/>
      <w:bookmarkStart w:id="190" w:name="_Toc297216186"/>
      <w:bookmarkStart w:id="191" w:name="_Toc312678019"/>
      <w:bookmarkStart w:id="192" w:name="_Toc296346668"/>
      <w:bookmarkStart w:id="193" w:name="_Toc297120467"/>
      <w:bookmarkStart w:id="194" w:name="_Toc296503167"/>
      <w:bookmarkStart w:id="195" w:name="_Toc292559372"/>
      <w:bookmarkStart w:id="196" w:name="_Toc280868656"/>
      <w:bookmarkStart w:id="197" w:name="_Toc280868655"/>
      <w:bookmarkStart w:id="198" w:name="_Toc267251424"/>
      <w:r>
        <w:rPr>
          <w:rFonts w:hint="eastAsia" w:ascii="宋体" w:hAnsi="宋体" w:eastAsia="宋体" w:cs="宋体"/>
          <w:color w:val="auto"/>
          <w:sz w:val="24"/>
          <w:szCs w:val="24"/>
        </w:rPr>
        <w:t>.4材料与工程设备的保管与使用</w:t>
      </w:r>
    </w:p>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14:paraId="7A4E8E3F">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w:t>
      </w:r>
      <w:bookmarkStart w:id="199" w:name="_Toc292559878"/>
      <w:bookmarkStart w:id="200" w:name="_Toc292559373"/>
      <w:bookmarkStart w:id="201" w:name="_Toc297123528"/>
      <w:bookmarkStart w:id="202" w:name="_Toc296347167"/>
      <w:bookmarkStart w:id="203" w:name="_Toc296890996"/>
      <w:bookmarkStart w:id="204" w:name="_Toc303539137"/>
      <w:bookmarkStart w:id="205" w:name="_Toc318581173"/>
      <w:bookmarkStart w:id="206" w:name="_Toc297120468"/>
      <w:bookmarkStart w:id="207" w:name="_Toc312677494"/>
      <w:bookmarkStart w:id="208" w:name="_Toc297048354"/>
      <w:bookmarkStart w:id="209" w:name="_Toc296503168"/>
      <w:bookmarkStart w:id="210" w:name="_Toc296346669"/>
      <w:bookmarkStart w:id="211" w:name="_Toc312678020"/>
      <w:bookmarkStart w:id="212" w:name="_Toc297216187"/>
      <w:bookmarkStart w:id="213" w:name="_Toc300934980"/>
      <w:bookmarkStart w:id="214" w:name="_Toc296891208"/>
      <w:bookmarkStart w:id="215" w:name="_Toc304295557"/>
      <w:bookmarkStart w:id="216" w:name="_Toc296944507"/>
      <w:r>
        <w:rPr>
          <w:rFonts w:hint="eastAsia" w:ascii="宋体" w:hAnsi="宋体" w:eastAsia="宋体" w:cs="宋体"/>
          <w:color w:val="auto"/>
          <w:sz w:val="24"/>
          <w:szCs w:val="24"/>
        </w:rPr>
        <w:t>.4.1发包人供应的材料设备的保管费用的承担：</w:t>
      </w:r>
      <w:r>
        <w:rPr>
          <w:rFonts w:hint="eastAsia" w:ascii="宋体" w:hAnsi="宋体" w:eastAsia="宋体" w:cs="宋体"/>
          <w:color w:val="auto"/>
          <w:sz w:val="24"/>
          <w:szCs w:val="24"/>
          <w:u w:val="single"/>
        </w:rPr>
        <w:t xml:space="preserve">   承包方承担   </w:t>
      </w:r>
      <w:r>
        <w:rPr>
          <w:rFonts w:hint="eastAsia" w:ascii="宋体" w:hAnsi="宋体" w:eastAsia="宋体" w:cs="宋体"/>
          <w:color w:val="auto"/>
          <w:sz w:val="24"/>
          <w:szCs w:val="24"/>
        </w:rPr>
        <w:t>。</w:t>
      </w:r>
      <w:bookmarkEnd w:id="199"/>
      <w:bookmarkEnd w:id="200"/>
    </w:p>
    <w:p w14:paraId="063C7883">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8.6 </w:t>
      </w:r>
      <w:r>
        <w:rPr>
          <w:rFonts w:hint="eastAsia" w:ascii="宋体" w:hAnsi="宋体" w:eastAsia="宋体" w:cs="宋体"/>
          <w:color w:val="auto"/>
          <w:kern w:val="0"/>
          <w:sz w:val="24"/>
          <w:szCs w:val="24"/>
        </w:rPr>
        <w:t>样品</w:t>
      </w:r>
    </w:p>
    <w:p w14:paraId="0E5B5153">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8.6.1</w:t>
      </w:r>
      <w:r>
        <w:rPr>
          <w:rFonts w:hint="eastAsia" w:ascii="宋体" w:hAnsi="宋体" w:eastAsia="宋体" w:cs="宋体"/>
          <w:color w:val="auto"/>
          <w:kern w:val="0"/>
          <w:sz w:val="24"/>
          <w:szCs w:val="24"/>
        </w:rPr>
        <w:tab/>
      </w:r>
      <w:r>
        <w:rPr>
          <w:rFonts w:hint="eastAsia" w:ascii="宋体" w:hAnsi="宋体" w:eastAsia="宋体" w:cs="宋体"/>
          <w:color w:val="auto"/>
          <w:kern w:val="0"/>
          <w:sz w:val="24"/>
          <w:szCs w:val="24"/>
        </w:rPr>
        <w:t>样品的报送与封存</w:t>
      </w:r>
    </w:p>
    <w:p w14:paraId="2CFE89A3">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需要承包人报送样品的材料或工程设备，样品的种类、名称、规格、数量要求：</w:t>
      </w:r>
      <w:r>
        <w:rPr>
          <w:rFonts w:hint="eastAsia" w:ascii="宋体" w:hAnsi="宋体" w:eastAsia="宋体" w:cs="宋体"/>
          <w:color w:val="auto"/>
          <w:sz w:val="24"/>
          <w:szCs w:val="24"/>
          <w:u w:val="single"/>
        </w:rPr>
        <w:t xml:space="preserve">                   </w:t>
      </w:r>
    </w:p>
    <w:p w14:paraId="423384F6">
      <w:pPr>
        <w:autoSpaceDE w:val="0"/>
        <w:autoSpaceDN w:val="0"/>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F7DF1CE">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8.8 施工设备和临时设施</w:t>
      </w:r>
    </w:p>
    <w:p w14:paraId="679FA1E2">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8.8.1 承包人提供的施工设备和临时设施</w:t>
      </w:r>
    </w:p>
    <w:p w14:paraId="4E79635C">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关于修建临时设施费用承担的约定：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14:paraId="3F2F10BE">
      <w:pPr>
        <w:adjustRightInd w:val="0"/>
        <w:snapToGrid w:val="0"/>
        <w:spacing w:line="360" w:lineRule="auto"/>
        <w:rPr>
          <w:rFonts w:hint="eastAsia" w:ascii="宋体" w:hAnsi="宋体" w:eastAsia="宋体" w:cs="宋体"/>
          <w:color w:val="auto"/>
          <w:sz w:val="24"/>
          <w:szCs w:val="24"/>
        </w:rPr>
      </w:pPr>
      <w:bookmarkStart w:id="217" w:name="_Toc351203641"/>
      <w:r>
        <w:rPr>
          <w:rFonts w:hint="eastAsia" w:ascii="宋体" w:hAnsi="宋体" w:eastAsia="宋体" w:cs="宋体"/>
          <w:color w:val="auto"/>
          <w:sz w:val="24"/>
          <w:szCs w:val="24"/>
        </w:rPr>
        <w:t>9</w:t>
      </w:r>
      <w:bookmarkEnd w:id="196"/>
      <w:bookmarkEnd w:id="197"/>
      <w:bookmarkEnd w:id="198"/>
      <w:bookmarkStart w:id="218" w:name="_Toc300934982"/>
      <w:bookmarkStart w:id="219" w:name="_Toc304295559"/>
      <w:bookmarkStart w:id="220" w:name="_Toc312678021"/>
      <w:bookmarkStart w:id="221" w:name="_Toc297216192"/>
      <w:bookmarkStart w:id="222" w:name="_Toc312677495"/>
      <w:bookmarkStart w:id="223" w:name="_Toc297123533"/>
      <w:bookmarkStart w:id="224" w:name="_Toc303539139"/>
      <w:bookmarkStart w:id="225" w:name="_Toc296944512"/>
      <w:bookmarkStart w:id="226" w:name="_Toc292559378"/>
      <w:bookmarkStart w:id="227" w:name="_Toc296347172"/>
      <w:bookmarkStart w:id="228" w:name="_Toc292559883"/>
      <w:bookmarkStart w:id="229" w:name="_Toc297120473"/>
      <w:bookmarkStart w:id="230" w:name="_Toc267251428"/>
      <w:bookmarkStart w:id="231" w:name="_Toc296891001"/>
      <w:bookmarkStart w:id="232" w:name="_Toc296346674"/>
      <w:bookmarkStart w:id="233" w:name="_Toc296891213"/>
      <w:bookmarkStart w:id="234" w:name="_Toc296503173"/>
      <w:bookmarkStart w:id="235" w:name="_Toc267251427"/>
      <w:bookmarkStart w:id="236" w:name="_Toc297048359"/>
      <w:r>
        <w:rPr>
          <w:rFonts w:hint="eastAsia" w:ascii="宋体" w:hAnsi="宋体" w:eastAsia="宋体" w:cs="宋体"/>
          <w:color w:val="auto"/>
          <w:sz w:val="24"/>
          <w:szCs w:val="24"/>
        </w:rPr>
        <w:t>. 试验与</w:t>
      </w:r>
      <w:r>
        <w:rPr>
          <w:rFonts w:hint="eastAsia" w:ascii="宋体" w:hAnsi="宋体" w:eastAsia="宋体" w:cs="宋体"/>
          <w:color w:val="auto"/>
          <w:kern w:val="0"/>
          <w:sz w:val="24"/>
          <w:szCs w:val="24"/>
        </w:rPr>
        <w:t>检验</w:t>
      </w:r>
      <w:bookmarkEnd w:id="217"/>
    </w:p>
    <w:bookmarkEnd w:id="218"/>
    <w:bookmarkEnd w:id="219"/>
    <w:bookmarkEnd w:id="220"/>
    <w:bookmarkEnd w:id="221"/>
    <w:bookmarkEnd w:id="222"/>
    <w:bookmarkEnd w:id="223"/>
    <w:bookmarkEnd w:id="224"/>
    <w:p w14:paraId="0F12C1DB">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237" w:name="_Toc300934983"/>
      <w:bookmarkStart w:id="238" w:name="_Toc303539140"/>
      <w:bookmarkStart w:id="239" w:name="_Toc297123534"/>
      <w:bookmarkStart w:id="240" w:name="_Toc297216193"/>
      <w:bookmarkStart w:id="241" w:name="_Toc304295560"/>
      <w:bookmarkStart w:id="242" w:name="_Toc312677496"/>
      <w:bookmarkStart w:id="243" w:name="_Toc312678022"/>
      <w:r>
        <w:rPr>
          <w:rFonts w:hint="eastAsia" w:ascii="宋体" w:hAnsi="宋体" w:eastAsia="宋体" w:cs="宋体"/>
          <w:color w:val="auto"/>
          <w:sz w:val="24"/>
          <w:szCs w:val="24"/>
        </w:rPr>
        <w:t>.1试验设备与试验人员</w:t>
      </w:r>
    </w:p>
    <w:bookmarkEnd w:id="237"/>
    <w:bookmarkEnd w:id="238"/>
    <w:bookmarkEnd w:id="239"/>
    <w:bookmarkEnd w:id="240"/>
    <w:bookmarkEnd w:id="241"/>
    <w:bookmarkEnd w:id="242"/>
    <w:bookmarkEnd w:id="243"/>
    <w:p w14:paraId="110CC961">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244" w:name="_Toc312677497"/>
      <w:bookmarkStart w:id="245" w:name="_Toc300934984"/>
      <w:bookmarkStart w:id="246" w:name="_Toc304295561"/>
      <w:bookmarkStart w:id="247" w:name="_Toc297216194"/>
      <w:bookmarkStart w:id="248" w:name="_Toc303539141"/>
      <w:bookmarkStart w:id="249" w:name="_Toc312678023"/>
      <w:bookmarkStart w:id="250" w:name="_Toc297123535"/>
      <w:bookmarkStart w:id="251" w:name="_Toc318581174"/>
      <w:r>
        <w:rPr>
          <w:rFonts w:hint="eastAsia" w:ascii="宋体" w:hAnsi="宋体" w:eastAsia="宋体" w:cs="宋体"/>
          <w:color w:val="auto"/>
          <w:sz w:val="24"/>
          <w:szCs w:val="24"/>
        </w:rPr>
        <w:t>.1.2 试验设备</w:t>
      </w:r>
    </w:p>
    <w:p w14:paraId="6C8E90A2">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施工现场需要配置的试验场所：</w:t>
      </w:r>
      <w:bookmarkEnd w:id="244"/>
      <w:bookmarkEnd w:id="245"/>
      <w:bookmarkEnd w:id="246"/>
      <w:bookmarkEnd w:id="247"/>
      <w:bookmarkEnd w:id="248"/>
      <w:bookmarkEnd w:id="249"/>
      <w:bookmarkEnd w:id="250"/>
      <w:bookmarkStart w:id="252" w:name="_Toc304295562"/>
      <w:bookmarkStart w:id="253" w:name="_Toc312678024"/>
      <w:bookmarkStart w:id="254" w:name="_Toc297123536"/>
      <w:bookmarkStart w:id="255" w:name="_Toc312677498"/>
      <w:bookmarkStart w:id="256" w:name="_Toc297216195"/>
      <w:bookmarkStart w:id="257" w:name="_Toc300934985"/>
      <w:bookmarkStart w:id="258" w:name="_Toc303539142"/>
      <w:r>
        <w:rPr>
          <w:rFonts w:hint="eastAsia" w:ascii="宋体" w:hAnsi="宋体" w:eastAsia="宋体" w:cs="宋体"/>
          <w:color w:val="auto"/>
          <w:sz w:val="24"/>
          <w:szCs w:val="24"/>
          <w:u w:val="single"/>
        </w:rPr>
        <w:t xml:space="preserve">      按有关规定执行   </w:t>
      </w:r>
      <w:r>
        <w:rPr>
          <w:rFonts w:hint="eastAsia" w:ascii="宋体" w:hAnsi="宋体" w:eastAsia="宋体" w:cs="宋体"/>
          <w:color w:val="auto"/>
          <w:sz w:val="24"/>
          <w:szCs w:val="24"/>
        </w:rPr>
        <w:t xml:space="preserve">。 </w:t>
      </w:r>
    </w:p>
    <w:p w14:paraId="5231A1B8">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施工现场需要配备的试验设备：</w:t>
      </w:r>
      <w:r>
        <w:rPr>
          <w:rFonts w:hint="eastAsia" w:ascii="宋体" w:hAnsi="宋体" w:eastAsia="宋体" w:cs="宋体"/>
          <w:color w:val="auto"/>
          <w:sz w:val="24"/>
          <w:szCs w:val="24"/>
          <w:u w:val="single"/>
        </w:rPr>
        <w:t xml:space="preserve">   按有关规定执行    </w:t>
      </w:r>
      <w:r>
        <w:rPr>
          <w:rFonts w:hint="eastAsia" w:ascii="宋体" w:hAnsi="宋体" w:eastAsia="宋体" w:cs="宋体"/>
          <w:color w:val="auto"/>
          <w:sz w:val="24"/>
          <w:szCs w:val="24"/>
        </w:rPr>
        <w:t>。</w:t>
      </w:r>
    </w:p>
    <w:p w14:paraId="53046C1F">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施工现场需要具备的其他试验条件：</w:t>
      </w:r>
      <w:r>
        <w:rPr>
          <w:rFonts w:hint="eastAsia" w:ascii="宋体" w:hAnsi="宋体" w:eastAsia="宋体" w:cs="宋体"/>
          <w:color w:val="auto"/>
          <w:sz w:val="24"/>
          <w:szCs w:val="24"/>
          <w:u w:val="single"/>
        </w:rPr>
        <w:t xml:space="preserve">  按有关规定执行           </w:t>
      </w:r>
      <w:r>
        <w:rPr>
          <w:rFonts w:hint="eastAsia" w:ascii="宋体" w:hAnsi="宋体" w:eastAsia="宋体" w:cs="宋体"/>
          <w:color w:val="auto"/>
          <w:sz w:val="24"/>
          <w:szCs w:val="24"/>
        </w:rPr>
        <w:t>。</w:t>
      </w:r>
    </w:p>
    <w:p w14:paraId="1D23CA6F">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9.4 现场工艺试验 </w:t>
      </w:r>
    </w:p>
    <w:p w14:paraId="49D267F4">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现场工艺试验的有关约定：</w:t>
      </w:r>
      <w:r>
        <w:rPr>
          <w:rFonts w:hint="eastAsia" w:ascii="宋体" w:hAnsi="宋体" w:eastAsia="宋体" w:cs="宋体"/>
          <w:color w:val="auto"/>
          <w:sz w:val="24"/>
          <w:szCs w:val="24"/>
          <w:u w:val="single"/>
        </w:rPr>
        <w:t xml:space="preserve">      相关试验费用由中标人承担 </w:t>
      </w:r>
      <w:r>
        <w:rPr>
          <w:rFonts w:hint="eastAsia" w:ascii="宋体" w:hAnsi="宋体" w:eastAsia="宋体" w:cs="宋体"/>
          <w:color w:val="auto"/>
          <w:sz w:val="24"/>
          <w:szCs w:val="24"/>
        </w:rPr>
        <w:t>。</w:t>
      </w:r>
    </w:p>
    <w:bookmarkEnd w:id="251"/>
    <w:bookmarkEnd w:id="252"/>
    <w:bookmarkEnd w:id="253"/>
    <w:bookmarkEnd w:id="254"/>
    <w:bookmarkEnd w:id="255"/>
    <w:bookmarkEnd w:id="256"/>
    <w:bookmarkEnd w:id="257"/>
    <w:bookmarkEnd w:id="258"/>
    <w:p w14:paraId="6EAC1F62">
      <w:pPr>
        <w:adjustRightInd w:val="0"/>
        <w:snapToGrid w:val="0"/>
        <w:spacing w:line="360" w:lineRule="auto"/>
        <w:rPr>
          <w:rFonts w:hint="eastAsia" w:ascii="宋体" w:hAnsi="宋体" w:eastAsia="宋体" w:cs="宋体"/>
          <w:color w:val="auto"/>
          <w:sz w:val="24"/>
          <w:szCs w:val="24"/>
        </w:rPr>
      </w:pPr>
      <w:bookmarkStart w:id="259" w:name="_Toc351203642"/>
      <w:r>
        <w:rPr>
          <w:rFonts w:hint="eastAsia" w:ascii="宋体" w:hAnsi="宋体" w:eastAsia="宋体" w:cs="宋体"/>
          <w:color w:val="auto"/>
          <w:sz w:val="24"/>
          <w:szCs w:val="24"/>
        </w:rPr>
        <w:t>1</w:t>
      </w:r>
      <w:bookmarkEnd w:id="225"/>
      <w:bookmarkEnd w:id="226"/>
      <w:bookmarkEnd w:id="227"/>
      <w:bookmarkEnd w:id="228"/>
      <w:bookmarkEnd w:id="229"/>
      <w:bookmarkEnd w:id="230"/>
      <w:bookmarkEnd w:id="231"/>
      <w:bookmarkEnd w:id="232"/>
      <w:bookmarkEnd w:id="233"/>
      <w:bookmarkEnd w:id="234"/>
      <w:bookmarkEnd w:id="235"/>
      <w:bookmarkEnd w:id="236"/>
      <w:bookmarkStart w:id="260" w:name="_Toc297120493"/>
      <w:bookmarkStart w:id="261" w:name="_Toc297216199"/>
      <w:bookmarkStart w:id="262" w:name="_Toc296346694"/>
      <w:bookmarkStart w:id="263" w:name="_Toc296891021"/>
      <w:bookmarkStart w:id="264" w:name="_Toc292559903"/>
      <w:bookmarkStart w:id="265" w:name="_Toc297123540"/>
      <w:bookmarkStart w:id="266" w:name="_Toc297048379"/>
      <w:bookmarkStart w:id="267" w:name="_Toc292559398"/>
      <w:bookmarkStart w:id="268" w:name="_Toc303539146"/>
      <w:bookmarkStart w:id="269" w:name="_Toc304295566"/>
      <w:bookmarkStart w:id="270" w:name="_Toc296891233"/>
      <w:bookmarkStart w:id="271" w:name="_Toc300934989"/>
      <w:bookmarkStart w:id="272" w:name="_Toc296944532"/>
      <w:bookmarkStart w:id="273" w:name="_Toc296503193"/>
      <w:bookmarkStart w:id="274" w:name="_Toc296347192"/>
      <w:bookmarkStart w:id="275" w:name="_Toc312677499"/>
      <w:bookmarkStart w:id="276" w:name="_Toc312678025"/>
      <w:bookmarkStart w:id="277" w:name="_Toc267251439"/>
      <w:bookmarkStart w:id="278" w:name="_Toc267251441"/>
      <w:bookmarkStart w:id="279" w:name="_Toc267251440"/>
      <w:bookmarkStart w:id="280" w:name="_Toc267251437"/>
      <w:bookmarkStart w:id="281" w:name="_Toc267251433"/>
      <w:bookmarkStart w:id="282" w:name="_Toc267251435"/>
      <w:bookmarkStart w:id="283" w:name="_Toc267251442"/>
      <w:r>
        <w:rPr>
          <w:rFonts w:hint="eastAsia" w:ascii="宋体" w:hAnsi="宋体" w:eastAsia="宋体" w:cs="宋体"/>
          <w:color w:val="auto"/>
          <w:sz w:val="24"/>
          <w:szCs w:val="24"/>
        </w:rPr>
        <w:t xml:space="preserve">0. </w:t>
      </w:r>
      <w:r>
        <w:rPr>
          <w:rFonts w:hint="eastAsia" w:ascii="宋体" w:hAnsi="宋体" w:eastAsia="宋体" w:cs="宋体"/>
          <w:color w:val="auto"/>
          <w:kern w:val="0"/>
          <w:sz w:val="24"/>
          <w:szCs w:val="24"/>
        </w:rPr>
        <w:t>变更</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p w14:paraId="4861C32E">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284" w:name="_Toc296346695"/>
      <w:bookmarkStart w:id="285" w:name="_Toc312677500"/>
      <w:bookmarkStart w:id="286" w:name="_Toc296347193"/>
      <w:bookmarkStart w:id="287" w:name="_Toc312678026"/>
      <w:bookmarkStart w:id="288" w:name="_Toc297048380"/>
      <w:bookmarkStart w:id="289" w:name="_Toc292559399"/>
      <w:bookmarkStart w:id="290" w:name="_Toc296944533"/>
      <w:bookmarkStart w:id="291" w:name="_Toc303539147"/>
      <w:bookmarkStart w:id="292" w:name="_Toc297123541"/>
      <w:bookmarkStart w:id="293" w:name="_Toc300934990"/>
      <w:bookmarkStart w:id="294" w:name="_Toc297216200"/>
      <w:bookmarkStart w:id="295" w:name="_Toc296891234"/>
      <w:bookmarkStart w:id="296" w:name="_Toc292559904"/>
      <w:bookmarkStart w:id="297" w:name="_Toc304295567"/>
      <w:bookmarkStart w:id="298" w:name="_Toc296891022"/>
      <w:bookmarkStart w:id="299" w:name="_Toc296503194"/>
      <w:bookmarkStart w:id="300" w:name="_Toc297120494"/>
      <w:r>
        <w:rPr>
          <w:rFonts w:hint="eastAsia" w:ascii="宋体" w:hAnsi="宋体" w:eastAsia="宋体" w:cs="宋体"/>
          <w:color w:val="auto"/>
          <w:sz w:val="24"/>
          <w:szCs w:val="24"/>
        </w:rPr>
        <w:t>0.1变更的范围</w:t>
      </w:r>
    </w:p>
    <w:p w14:paraId="344E4617">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关于变更的范围的约定：</w:t>
      </w:r>
      <w:r>
        <w:rPr>
          <w:rFonts w:hint="eastAsia" w:ascii="宋体" w:hAnsi="宋体" w:eastAsia="宋体" w:cs="宋体"/>
          <w:color w:val="auto"/>
          <w:sz w:val="24"/>
          <w:szCs w:val="24"/>
          <w:u w:val="single"/>
        </w:rPr>
        <w:t xml:space="preserve">     执行通用条款    </w:t>
      </w:r>
      <w:r>
        <w:rPr>
          <w:rFonts w:hint="eastAsia" w:ascii="宋体" w:hAnsi="宋体" w:eastAsia="宋体" w:cs="宋体"/>
          <w:color w:val="auto"/>
          <w:sz w:val="24"/>
          <w:szCs w:val="24"/>
        </w:rPr>
        <w:t>。</w:t>
      </w:r>
    </w:p>
    <w:p w14:paraId="0BC81A08">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10.4 变更</w:t>
      </w:r>
      <w:r>
        <w:rPr>
          <w:rFonts w:hint="eastAsia" w:ascii="宋体" w:hAnsi="宋体" w:eastAsia="宋体" w:cs="宋体"/>
          <w:color w:val="auto"/>
          <w:kern w:val="0"/>
          <w:sz w:val="24"/>
          <w:szCs w:val="24"/>
        </w:rPr>
        <w:t>估价</w:t>
      </w:r>
    </w:p>
    <w:p w14:paraId="5D27B575">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10.4.1 变更估价原则</w:t>
      </w:r>
    </w:p>
    <w:p w14:paraId="43FE68D1">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关于变更估价的约定: </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386D660">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Start w:id="301" w:name="_Toc296891237"/>
      <w:bookmarkStart w:id="302" w:name="_Toc296944536"/>
      <w:bookmarkStart w:id="303" w:name="_Toc296346698"/>
      <w:bookmarkStart w:id="304" w:name="_Toc297048383"/>
      <w:bookmarkStart w:id="305" w:name="_Toc297123544"/>
      <w:bookmarkStart w:id="306" w:name="_Toc297120497"/>
      <w:bookmarkStart w:id="307" w:name="_Toc303539150"/>
      <w:bookmarkStart w:id="308" w:name="_Toc292559402"/>
      <w:bookmarkStart w:id="309" w:name="_Toc296891025"/>
      <w:bookmarkStart w:id="310" w:name="_Toc296503197"/>
      <w:bookmarkStart w:id="311" w:name="_Toc297216203"/>
      <w:bookmarkStart w:id="312" w:name="_Toc296347196"/>
      <w:bookmarkStart w:id="313" w:name="_Toc292559907"/>
      <w:bookmarkStart w:id="314" w:name="_Toc300934993"/>
      <w:bookmarkStart w:id="315" w:name="_Toc312678029"/>
      <w:bookmarkStart w:id="316" w:name="_Toc304295570"/>
      <w:bookmarkStart w:id="317" w:name="_Toc312677503"/>
      <w:r>
        <w:rPr>
          <w:rFonts w:hint="eastAsia" w:ascii="宋体" w:hAnsi="宋体" w:eastAsia="宋体" w:cs="宋体"/>
          <w:color w:val="auto"/>
          <w:sz w:val="24"/>
          <w:szCs w:val="24"/>
        </w:rPr>
        <w:t>0.5承</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8" w:name="_Toc297048389"/>
      <w:bookmarkStart w:id="319" w:name="_Toc296891031"/>
      <w:bookmarkStart w:id="320" w:name="_Toc300934994"/>
      <w:bookmarkStart w:id="321" w:name="_Toc297216204"/>
      <w:bookmarkStart w:id="322" w:name="_Toc296346704"/>
      <w:bookmarkStart w:id="323" w:name="_Toc292559913"/>
      <w:bookmarkStart w:id="324" w:name="_Toc296503203"/>
      <w:bookmarkStart w:id="325" w:name="_Toc296347202"/>
      <w:bookmarkStart w:id="326" w:name="_Toc297120503"/>
      <w:bookmarkStart w:id="327" w:name="_Toc296944542"/>
      <w:bookmarkStart w:id="328" w:name="_Toc296891243"/>
      <w:bookmarkStart w:id="329" w:name="_Toc297123545"/>
      <w:bookmarkStart w:id="330" w:name="_Toc292559408"/>
      <w:bookmarkStart w:id="331" w:name="_Toc303539151"/>
      <w:r>
        <w:rPr>
          <w:rFonts w:hint="eastAsia" w:ascii="宋体" w:hAnsi="宋体" w:eastAsia="宋体" w:cs="宋体"/>
          <w:color w:val="auto"/>
          <w:sz w:val="24"/>
          <w:szCs w:val="24"/>
        </w:rPr>
        <w:t>包人的合理化建议</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14:paraId="01AFED43">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监理人审查承包人合理化建议的期限：</w:t>
      </w:r>
      <w:r>
        <w:rPr>
          <w:rFonts w:hint="eastAsia" w:ascii="宋体" w:hAnsi="宋体" w:eastAsia="宋体" w:cs="宋体"/>
          <w:color w:val="auto"/>
          <w:sz w:val="24"/>
          <w:szCs w:val="24"/>
          <w:u w:val="single"/>
        </w:rPr>
        <w:t xml:space="preserve">    7天内        </w:t>
      </w:r>
      <w:r>
        <w:rPr>
          <w:rFonts w:hint="eastAsia" w:ascii="宋体" w:hAnsi="宋体" w:eastAsia="宋体" w:cs="宋体"/>
          <w:color w:val="auto"/>
          <w:sz w:val="24"/>
          <w:szCs w:val="24"/>
        </w:rPr>
        <w:t>。</w:t>
      </w:r>
    </w:p>
    <w:p w14:paraId="33E03D31">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发包人审批承包人合理化建议的期限：</w:t>
      </w:r>
      <w:r>
        <w:rPr>
          <w:rFonts w:hint="eastAsia" w:ascii="宋体" w:hAnsi="宋体" w:eastAsia="宋体" w:cs="宋体"/>
          <w:color w:val="auto"/>
          <w:sz w:val="24"/>
          <w:szCs w:val="24"/>
          <w:u w:val="single"/>
        </w:rPr>
        <w:t xml:space="preserve">    7天内         </w:t>
      </w:r>
      <w:r>
        <w:rPr>
          <w:rFonts w:hint="eastAsia" w:ascii="宋体" w:hAnsi="宋体" w:eastAsia="宋体" w:cs="宋体"/>
          <w:color w:val="auto"/>
          <w:sz w:val="24"/>
          <w:szCs w:val="24"/>
        </w:rPr>
        <w:t>。</w:t>
      </w:r>
    </w:p>
    <w:p w14:paraId="4419DB8D">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w:t>
      </w:r>
      <w:bookmarkStart w:id="332" w:name="_Toc297216205"/>
      <w:bookmarkStart w:id="333" w:name="_Toc318581175"/>
      <w:bookmarkStart w:id="334" w:name="_Toc296891032"/>
      <w:bookmarkStart w:id="335" w:name="_Toc296944543"/>
      <w:bookmarkStart w:id="336" w:name="_Toc300934995"/>
      <w:bookmarkStart w:id="337" w:name="_Toc292559409"/>
      <w:bookmarkStart w:id="338" w:name="_Toc312677504"/>
      <w:bookmarkStart w:id="339" w:name="_Toc297120504"/>
      <w:bookmarkStart w:id="340" w:name="_Toc312678030"/>
      <w:bookmarkStart w:id="341" w:name="_Toc296891244"/>
      <w:bookmarkStart w:id="342" w:name="_Toc296347203"/>
      <w:bookmarkStart w:id="343" w:name="_Toc303539152"/>
      <w:bookmarkStart w:id="344" w:name="_Toc297123546"/>
      <w:bookmarkStart w:id="345" w:name="_Toc304295571"/>
      <w:bookmarkStart w:id="346" w:name="_Toc296346705"/>
      <w:bookmarkStart w:id="347" w:name="_Toc297048390"/>
      <w:bookmarkStart w:id="348" w:name="_Toc296503204"/>
      <w:bookmarkStart w:id="349" w:name="_Toc292559914"/>
      <w:r>
        <w:rPr>
          <w:rFonts w:hint="eastAsia" w:ascii="宋体" w:hAnsi="宋体" w:eastAsia="宋体" w:cs="宋体"/>
          <w:color w:val="auto"/>
          <w:sz w:val="24"/>
          <w:szCs w:val="24"/>
        </w:rPr>
        <w:t>包人提出的合理化建议降低了合同价格或者提高了工程经济效益的奖励的方法和金额为：</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14:paraId="733E6DD1">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350" w:name="_Toc296891239"/>
      <w:bookmarkStart w:id="351" w:name="_Toc297120499"/>
      <w:bookmarkStart w:id="352" w:name="_Toc292559404"/>
      <w:bookmarkStart w:id="353" w:name="_Toc304295574"/>
      <w:bookmarkStart w:id="354" w:name="_Toc297123548"/>
      <w:bookmarkStart w:id="355" w:name="_Toc296503199"/>
      <w:bookmarkStart w:id="356" w:name="_Toc300934997"/>
      <w:bookmarkStart w:id="357" w:name="_Toc296347198"/>
      <w:bookmarkStart w:id="358" w:name="_Toc292559909"/>
      <w:bookmarkStart w:id="359" w:name="_Toc303539154"/>
      <w:bookmarkStart w:id="360" w:name="_Toc312677507"/>
      <w:bookmarkStart w:id="361" w:name="_Toc296944538"/>
      <w:bookmarkStart w:id="362" w:name="_Toc296891027"/>
      <w:bookmarkStart w:id="363" w:name="_Toc297048385"/>
      <w:bookmarkStart w:id="364" w:name="_Toc312678033"/>
      <w:bookmarkStart w:id="365" w:name="_Toc296346700"/>
      <w:bookmarkStart w:id="366" w:name="_Toc297216207"/>
      <w:r>
        <w:rPr>
          <w:rFonts w:hint="eastAsia" w:ascii="宋体" w:hAnsi="宋体" w:eastAsia="宋体" w:cs="宋体"/>
          <w:color w:val="auto"/>
          <w:sz w:val="24"/>
          <w:szCs w:val="24"/>
        </w:rPr>
        <w:t>0.7 暂</w:t>
      </w:r>
      <w:r>
        <w:rPr>
          <w:rFonts w:hint="eastAsia" w:ascii="宋体" w:hAnsi="宋体" w:eastAsia="宋体" w:cs="宋体"/>
          <w:color w:val="auto"/>
          <w:kern w:val="0"/>
          <w:sz w:val="24"/>
          <w:szCs w:val="24"/>
        </w:rPr>
        <w:t>估价</w:t>
      </w:r>
    </w:p>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14:paraId="6903031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暂</w:t>
      </w:r>
      <w:bookmarkStart w:id="367" w:name="_Toc312677508"/>
      <w:bookmarkStart w:id="368" w:name="_Toc318581176"/>
      <w:bookmarkStart w:id="369" w:name="_Toc312678034"/>
      <w:r>
        <w:rPr>
          <w:rFonts w:hint="eastAsia" w:ascii="宋体" w:hAnsi="宋体" w:eastAsia="宋体" w:cs="宋体"/>
          <w:color w:val="auto"/>
          <w:kern w:val="0"/>
          <w:sz w:val="24"/>
          <w:szCs w:val="24"/>
        </w:rPr>
        <w:t>估价材料和工程设备的明细详见附件11：《</w:t>
      </w:r>
      <w:r>
        <w:rPr>
          <w:rFonts w:hint="eastAsia" w:ascii="宋体" w:hAnsi="宋体" w:eastAsia="宋体" w:cs="宋体"/>
          <w:color w:val="auto"/>
          <w:sz w:val="24"/>
          <w:szCs w:val="24"/>
        </w:rPr>
        <w:t>暂估价一览表》</w:t>
      </w:r>
      <w:r>
        <w:rPr>
          <w:rFonts w:hint="eastAsia" w:ascii="宋体" w:hAnsi="宋体" w:eastAsia="宋体" w:cs="宋体"/>
          <w:color w:val="auto"/>
          <w:kern w:val="0"/>
          <w:sz w:val="24"/>
          <w:szCs w:val="24"/>
        </w:rPr>
        <w:t>。</w:t>
      </w:r>
    </w:p>
    <w:bookmarkEnd w:id="367"/>
    <w:bookmarkEnd w:id="368"/>
    <w:bookmarkEnd w:id="369"/>
    <w:p w14:paraId="75634FB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370" w:name="_Toc318581177"/>
      <w:bookmarkStart w:id="371" w:name="_Toc312677509"/>
      <w:bookmarkStart w:id="372" w:name="_Toc312678035"/>
      <w:r>
        <w:rPr>
          <w:rFonts w:hint="eastAsia" w:ascii="宋体" w:hAnsi="宋体" w:eastAsia="宋体" w:cs="宋体"/>
          <w:color w:val="auto"/>
          <w:sz w:val="24"/>
          <w:szCs w:val="24"/>
        </w:rPr>
        <w:t>0.7.1 依法必须招标的暂估价项目</w:t>
      </w:r>
    </w:p>
    <w:bookmarkEnd w:id="370"/>
    <w:bookmarkEnd w:id="371"/>
    <w:bookmarkEnd w:id="372"/>
    <w:p w14:paraId="2A1DEBE3">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对于依法必须招标的暂估价项目的确认和批准采取第</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种方式确定。</w:t>
      </w:r>
    </w:p>
    <w:p w14:paraId="48C84418">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10.7.2 不属于依法必须招标的暂估价项目</w:t>
      </w:r>
    </w:p>
    <w:p w14:paraId="1F7B8FA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对于不属于依法必须招标的暂估价项目的确认和批准采取第</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种方式确定。</w:t>
      </w:r>
    </w:p>
    <w:p w14:paraId="3AE5F72C">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第3种方式：</w:t>
      </w:r>
      <w:r>
        <w:rPr>
          <w:rFonts w:hint="eastAsia" w:ascii="宋体" w:hAnsi="宋体" w:eastAsia="宋体" w:cs="宋体"/>
          <w:color w:val="auto"/>
          <w:kern w:val="0"/>
          <w:sz w:val="24"/>
          <w:szCs w:val="24"/>
        </w:rPr>
        <w:t>承包人直接实施的暂估价项目</w:t>
      </w:r>
    </w:p>
    <w:p w14:paraId="2EFB3C43">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承包人直接实施的暂估价项目的约定：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04E0EC9D">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10.8 暂列金额</w:t>
      </w:r>
    </w:p>
    <w:p w14:paraId="5E1A1A20">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合同当事人关于暂列金额使用的约定：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20BA3CA7">
      <w:pPr>
        <w:adjustRightInd w:val="0"/>
        <w:snapToGrid w:val="0"/>
        <w:spacing w:line="360" w:lineRule="auto"/>
        <w:rPr>
          <w:rFonts w:hint="eastAsia" w:ascii="宋体" w:hAnsi="宋体" w:eastAsia="宋体" w:cs="宋体"/>
          <w:color w:val="auto"/>
          <w:sz w:val="24"/>
          <w:szCs w:val="24"/>
        </w:rPr>
      </w:pPr>
      <w:bookmarkStart w:id="373" w:name="_Toc351203643"/>
      <w:r>
        <w:rPr>
          <w:rFonts w:hint="eastAsia" w:ascii="宋体" w:hAnsi="宋体" w:eastAsia="宋体" w:cs="宋体"/>
          <w:color w:val="auto"/>
          <w:sz w:val="24"/>
          <w:szCs w:val="24"/>
        </w:rPr>
        <w:t>11. 价格调整</w:t>
      </w:r>
      <w:bookmarkEnd w:id="373"/>
    </w:p>
    <w:p w14:paraId="0AE75182">
      <w:pPr>
        <w:adjustRightInd w:val="0"/>
        <w:snapToGrid w:val="0"/>
        <w:spacing w:after="120" w:line="360" w:lineRule="auto"/>
        <w:ind w:firstLine="480" w:firstLineChars="200"/>
        <w:rPr>
          <w:rFonts w:hint="eastAsia" w:ascii="宋体" w:hAnsi="宋体" w:eastAsia="宋体" w:cs="宋体"/>
          <w:color w:val="auto"/>
          <w:sz w:val="24"/>
          <w:szCs w:val="24"/>
        </w:rPr>
      </w:pPr>
      <w:bookmarkStart w:id="374" w:name="_Toc297120501"/>
      <w:bookmarkStart w:id="375" w:name="_Toc297048387"/>
      <w:bookmarkStart w:id="376" w:name="_Toc304295577"/>
      <w:bookmarkStart w:id="377" w:name="_Toc300935000"/>
      <w:bookmarkStart w:id="378" w:name="_Toc297123550"/>
      <w:bookmarkStart w:id="379" w:name="_Toc297216209"/>
      <w:bookmarkStart w:id="380" w:name="_Toc292559911"/>
      <w:bookmarkStart w:id="381" w:name="_Toc312678039"/>
      <w:bookmarkStart w:id="382" w:name="_Toc296346702"/>
      <w:bookmarkStart w:id="383" w:name="_Toc296891029"/>
      <w:bookmarkStart w:id="384" w:name="_Toc292559406"/>
      <w:bookmarkStart w:id="385" w:name="_Toc296944540"/>
      <w:bookmarkStart w:id="386" w:name="_Toc296347200"/>
      <w:bookmarkStart w:id="387" w:name="_Toc303539157"/>
      <w:bookmarkStart w:id="388" w:name="_Toc296891241"/>
      <w:bookmarkStart w:id="389" w:name="_Toc296503201"/>
      <w:r>
        <w:rPr>
          <w:rFonts w:hint="eastAsia" w:ascii="宋体" w:hAnsi="宋体" w:eastAsia="宋体" w:cs="宋体"/>
          <w:color w:val="auto"/>
          <w:sz w:val="24"/>
          <w:szCs w:val="24"/>
        </w:rPr>
        <w:t>11.1 市场价格波动引起的调整</w:t>
      </w:r>
    </w:p>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14:paraId="16EAE1AE">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市场价格波动是否调整合同价格的约定：</w:t>
      </w:r>
      <w:r>
        <w:rPr>
          <w:rFonts w:hint="eastAsia" w:ascii="宋体" w:hAnsi="宋体" w:eastAsia="宋体" w:cs="宋体"/>
          <w:color w:val="auto"/>
          <w:sz w:val="24"/>
          <w:szCs w:val="24"/>
          <w:u w:val="single"/>
        </w:rPr>
        <w:t xml:space="preserve">   否    </w:t>
      </w:r>
      <w:r>
        <w:rPr>
          <w:rFonts w:hint="eastAsia" w:ascii="宋体" w:hAnsi="宋体" w:eastAsia="宋体" w:cs="宋体"/>
          <w:color w:val="auto"/>
          <w:sz w:val="24"/>
          <w:szCs w:val="24"/>
        </w:rPr>
        <w:t>。</w:t>
      </w:r>
    </w:p>
    <w:p w14:paraId="6528A6EC">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因市场价格波动调整合同价格，采用以下第</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种方式对合同价格进行调整：</w:t>
      </w:r>
    </w:p>
    <w:p w14:paraId="7A279EA0">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第1种方式：采用最新价格指数进行价格调整。</w:t>
      </w:r>
    </w:p>
    <w:p w14:paraId="36630C55">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关于各可调因子、定值和变值权重，以及基本价格指数及其来源的约定：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p>
    <w:p w14:paraId="1162F885">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第2种方式：采用造价信息进行价格调整。</w:t>
      </w:r>
    </w:p>
    <w:p w14:paraId="09D42BF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（2）关于基准价格的约定：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B401F3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专用合同条款①承包人在预算书中载明的材料单价低于基准价格的：专用合同条款合同履行期间材料单价涨幅以基准价格为基础超过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%时，或材料单价跌幅以预算书中载明材料单价为基础超过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7FBCAF4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②承包人在预算书中载明的材料单价高于基准价格的：专用合同条款合同履行期间材料单价跌幅以基准价格为基础超过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%时，材料单价涨幅以预算书中载明材料单价为基础超过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68D79DF4">
      <w:pPr>
        <w:adjustRightInd w:val="0"/>
        <w:snapToGrid w:val="0"/>
        <w:spacing w:line="360" w:lineRule="auto"/>
        <w:ind w:firstLine="645"/>
        <w:jc w:val="left"/>
        <w:rPr>
          <w:rFonts w:hint="eastAsia" w:ascii="宋体" w:hAnsi="宋体" w:eastAsia="宋体" w:cs="宋体"/>
          <w:color w:val="auto"/>
          <w:sz w:val="24"/>
          <w:szCs w:val="24"/>
        </w:rPr>
      </w:pPr>
      <w:r>
        <w:rPr>
          <w:rFonts w:hint="eastAsia" w:ascii="宋体" w:hAnsi="宋体" w:eastAsia="宋体" w:cs="宋体"/>
          <w:color w:val="auto"/>
          <w:sz w:val="24"/>
          <w:szCs w:val="24"/>
        </w:rPr>
        <w:t>③承包人在预算书中载明的材料单价等于基准单价的：专用合同条款合同履行期间材料单价涨跌幅以基准单价为基础超过±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7CB845B2">
      <w:pPr>
        <w:adjustRightInd w:val="0"/>
        <w:snapToGrid w:val="0"/>
        <w:spacing w:line="360" w:lineRule="auto"/>
        <w:ind w:firstLine="645"/>
        <w:jc w:val="left"/>
        <w:rPr>
          <w:rFonts w:hint="eastAsia" w:ascii="宋体" w:hAnsi="宋体" w:eastAsia="宋体" w:cs="宋体"/>
          <w:color w:val="auto"/>
          <w:sz w:val="24"/>
          <w:szCs w:val="24"/>
        </w:rPr>
      </w:pPr>
      <w:r>
        <w:rPr>
          <w:rFonts w:hint="eastAsia" w:ascii="宋体" w:hAnsi="宋体" w:eastAsia="宋体" w:cs="宋体"/>
          <w:color w:val="auto"/>
          <w:sz w:val="24"/>
          <w:szCs w:val="24"/>
        </w:rPr>
        <w:t>第3种方式：其他价格调整方式：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277"/>
    <w:bookmarkEnd w:id="278"/>
    <w:bookmarkEnd w:id="279"/>
    <w:bookmarkEnd w:id="280"/>
    <w:bookmarkEnd w:id="281"/>
    <w:bookmarkEnd w:id="282"/>
    <w:p w14:paraId="71578F1A">
      <w:pPr>
        <w:adjustRightInd w:val="0"/>
        <w:snapToGrid w:val="0"/>
        <w:spacing w:line="360" w:lineRule="auto"/>
        <w:rPr>
          <w:rFonts w:hint="eastAsia" w:ascii="宋体" w:hAnsi="宋体" w:eastAsia="宋体" w:cs="宋体"/>
          <w:color w:val="auto"/>
          <w:sz w:val="24"/>
          <w:szCs w:val="24"/>
        </w:rPr>
      </w:pPr>
      <w:bookmarkStart w:id="390" w:name="_Toc296503205"/>
      <w:bookmarkStart w:id="391" w:name="_Toc297048391"/>
      <w:bookmarkStart w:id="392" w:name="_Toc297120505"/>
      <w:bookmarkStart w:id="393" w:name="_Toc296944544"/>
      <w:bookmarkStart w:id="394" w:name="_Toc296347204"/>
      <w:bookmarkStart w:id="395" w:name="_Toc296891245"/>
      <w:bookmarkStart w:id="396" w:name="_Toc296891033"/>
      <w:bookmarkStart w:id="397" w:name="_Toc296346706"/>
      <w:bookmarkStart w:id="398" w:name="_Toc292559915"/>
      <w:bookmarkStart w:id="399" w:name="_Toc292559410"/>
      <w:bookmarkStart w:id="400" w:name="_Toc351203644"/>
      <w:bookmarkStart w:id="401" w:name="_Toc297216211"/>
      <w:bookmarkStart w:id="402" w:name="_Toc303539159"/>
      <w:bookmarkStart w:id="403" w:name="_Toc297123552"/>
      <w:bookmarkStart w:id="404" w:name="_Toc312678040"/>
      <w:bookmarkStart w:id="405" w:name="_Toc300935002"/>
      <w:bookmarkStart w:id="406" w:name="_Toc304295579"/>
      <w:r>
        <w:rPr>
          <w:rFonts w:hint="eastAsia" w:ascii="宋体" w:hAnsi="宋体" w:eastAsia="宋体" w:cs="宋体"/>
          <w:color w:val="auto"/>
          <w:sz w:val="24"/>
          <w:szCs w:val="24"/>
        </w:rPr>
        <w:t xml:space="preserve">12. </w:t>
      </w:r>
      <w:bookmarkEnd w:id="390"/>
      <w:bookmarkEnd w:id="391"/>
      <w:bookmarkEnd w:id="392"/>
      <w:bookmarkEnd w:id="393"/>
      <w:bookmarkEnd w:id="394"/>
      <w:bookmarkEnd w:id="395"/>
      <w:bookmarkEnd w:id="396"/>
      <w:bookmarkEnd w:id="397"/>
      <w:bookmarkEnd w:id="398"/>
      <w:bookmarkEnd w:id="399"/>
      <w:r>
        <w:rPr>
          <w:rFonts w:hint="eastAsia" w:ascii="宋体" w:hAnsi="宋体" w:eastAsia="宋体" w:cs="宋体"/>
          <w:color w:val="auto"/>
          <w:sz w:val="24"/>
          <w:szCs w:val="24"/>
        </w:rPr>
        <w:t>合同价格、计量与支付</w:t>
      </w:r>
      <w:bookmarkEnd w:id="400"/>
    </w:p>
    <w:bookmarkEnd w:id="401"/>
    <w:bookmarkEnd w:id="402"/>
    <w:bookmarkEnd w:id="403"/>
    <w:bookmarkEnd w:id="404"/>
    <w:bookmarkEnd w:id="405"/>
    <w:bookmarkEnd w:id="406"/>
    <w:p w14:paraId="2D6AA8FD">
      <w:pPr>
        <w:adjustRightInd w:val="0"/>
        <w:snapToGrid w:val="0"/>
        <w:spacing w:after="120" w:line="360" w:lineRule="auto"/>
        <w:ind w:firstLine="480" w:firstLineChars="200"/>
        <w:rPr>
          <w:rFonts w:hint="eastAsia" w:ascii="宋体" w:hAnsi="宋体" w:eastAsia="宋体" w:cs="宋体"/>
          <w:color w:val="auto"/>
          <w:sz w:val="24"/>
          <w:szCs w:val="24"/>
        </w:rPr>
      </w:pPr>
      <w:bookmarkStart w:id="407" w:name="_Toc267251461"/>
      <w:bookmarkStart w:id="408" w:name="_Toc292559411"/>
      <w:bookmarkStart w:id="409" w:name="_Toc292559916"/>
      <w:bookmarkStart w:id="410" w:name="_Toc296891246"/>
      <w:bookmarkStart w:id="411" w:name="_Toc296944545"/>
      <w:bookmarkStart w:id="412" w:name="_Toc296891034"/>
      <w:bookmarkStart w:id="413" w:name="_Toc297120506"/>
      <w:bookmarkStart w:id="414" w:name="_Toc296347205"/>
      <w:bookmarkStart w:id="415" w:name="_Toc296503206"/>
      <w:bookmarkStart w:id="416" w:name="_Toc296346707"/>
      <w:bookmarkStart w:id="417" w:name="_Toc297048392"/>
      <w:bookmarkStart w:id="418" w:name="_Toc297123553"/>
      <w:bookmarkStart w:id="419" w:name="_Toc297216212"/>
      <w:bookmarkStart w:id="420" w:name="_Toc304295580"/>
      <w:bookmarkStart w:id="421" w:name="_Toc300935003"/>
      <w:bookmarkStart w:id="422" w:name="_Toc312678041"/>
      <w:bookmarkStart w:id="423" w:name="_Toc303539160"/>
      <w:r>
        <w:rPr>
          <w:rFonts w:hint="eastAsia" w:ascii="宋体" w:hAnsi="宋体" w:eastAsia="宋体" w:cs="宋体"/>
          <w:color w:val="auto"/>
          <w:sz w:val="24"/>
          <w:szCs w:val="24"/>
        </w:rPr>
        <w:t>12.1 合</w:t>
      </w:r>
      <w:bookmarkEnd w:id="407"/>
      <w:bookmarkEnd w:id="408"/>
      <w:bookmarkEnd w:id="409"/>
      <w:r>
        <w:rPr>
          <w:rFonts w:hint="eastAsia" w:ascii="宋体" w:hAnsi="宋体" w:eastAsia="宋体" w:cs="宋体"/>
          <w:color w:val="auto"/>
          <w:sz w:val="24"/>
          <w:szCs w:val="24"/>
        </w:rPr>
        <w:t>同价</w:t>
      </w:r>
      <w:bookmarkEnd w:id="410"/>
      <w:bookmarkEnd w:id="411"/>
      <w:bookmarkEnd w:id="412"/>
      <w:bookmarkEnd w:id="413"/>
      <w:bookmarkEnd w:id="414"/>
      <w:bookmarkEnd w:id="415"/>
      <w:bookmarkEnd w:id="416"/>
      <w:bookmarkEnd w:id="417"/>
      <w:r>
        <w:rPr>
          <w:rFonts w:hint="eastAsia" w:ascii="宋体" w:hAnsi="宋体" w:eastAsia="宋体" w:cs="宋体"/>
          <w:color w:val="auto"/>
          <w:sz w:val="24"/>
          <w:szCs w:val="24"/>
        </w:rPr>
        <w:t>格形式</w:t>
      </w:r>
    </w:p>
    <w:bookmarkEnd w:id="418"/>
    <w:bookmarkEnd w:id="419"/>
    <w:bookmarkEnd w:id="420"/>
    <w:bookmarkEnd w:id="421"/>
    <w:bookmarkEnd w:id="422"/>
    <w:bookmarkEnd w:id="423"/>
    <w:p w14:paraId="67D081B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w:t>
      </w:r>
    </w:p>
    <w:p w14:paraId="1116435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综合单价包含的风险范围：</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080CDDC">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13FDB7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2043B66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w:t>
      </w:r>
    </w:p>
    <w:p w14:paraId="434CA2F1">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总价包含的风险范围：</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市场价格波动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AB4E59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605A53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工程签证及设计变更     </w:t>
      </w:r>
      <w:r>
        <w:rPr>
          <w:rFonts w:hint="eastAsia" w:ascii="宋体" w:hAnsi="宋体" w:eastAsia="宋体" w:cs="宋体"/>
          <w:color w:val="auto"/>
          <w:sz w:val="24"/>
          <w:szCs w:val="24"/>
        </w:rPr>
        <w:t>。</w:t>
      </w:r>
    </w:p>
    <w:p w14:paraId="665AEF4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3、其他价格方式：</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70EA76F">
      <w:pPr>
        <w:adjustRightInd w:val="0"/>
        <w:snapToGrid w:val="0"/>
        <w:spacing w:after="120" w:line="360" w:lineRule="auto"/>
        <w:ind w:firstLine="480" w:firstLineChars="200"/>
        <w:rPr>
          <w:rFonts w:hint="eastAsia" w:ascii="宋体" w:hAnsi="宋体" w:eastAsia="宋体" w:cs="宋体"/>
          <w:color w:val="auto"/>
          <w:sz w:val="24"/>
          <w:szCs w:val="24"/>
        </w:rPr>
      </w:pPr>
      <w:bookmarkStart w:id="424" w:name="_Toc300935004"/>
      <w:bookmarkStart w:id="425" w:name="_Toc304295581"/>
      <w:bookmarkStart w:id="426" w:name="_Toc297216213"/>
      <w:bookmarkStart w:id="427" w:name="_Toc303539161"/>
      <w:bookmarkStart w:id="428" w:name="_Toc297123554"/>
      <w:bookmarkStart w:id="429" w:name="_Toc312678042"/>
      <w:bookmarkStart w:id="430" w:name="_Toc292559917"/>
      <w:bookmarkStart w:id="431" w:name="_Toc297048393"/>
      <w:bookmarkStart w:id="432" w:name="_Toc296346708"/>
      <w:bookmarkStart w:id="433" w:name="_Toc296347206"/>
      <w:bookmarkStart w:id="434" w:name="_Toc296944546"/>
      <w:bookmarkStart w:id="435" w:name="_Toc296503207"/>
      <w:bookmarkStart w:id="436" w:name="_Toc296891247"/>
      <w:bookmarkStart w:id="437" w:name="_Toc297120507"/>
      <w:bookmarkStart w:id="438" w:name="_Toc292559412"/>
      <w:bookmarkStart w:id="439" w:name="_Toc296891035"/>
      <w:r>
        <w:rPr>
          <w:rFonts w:hint="eastAsia" w:ascii="宋体" w:hAnsi="宋体" w:eastAsia="宋体" w:cs="宋体"/>
          <w:color w:val="auto"/>
          <w:sz w:val="24"/>
          <w:szCs w:val="24"/>
        </w:rPr>
        <w:t>12.2 预付款</w:t>
      </w:r>
    </w:p>
    <w:bookmarkEnd w:id="424"/>
    <w:bookmarkEnd w:id="425"/>
    <w:bookmarkEnd w:id="426"/>
    <w:bookmarkEnd w:id="427"/>
    <w:bookmarkEnd w:id="428"/>
    <w:bookmarkEnd w:id="429"/>
    <w:p w14:paraId="11F08E40">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12.2.1 预付款的支付</w:t>
      </w:r>
    </w:p>
    <w:p w14:paraId="41FB5542">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预付款支付比例或金额：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BB6DB42">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F9BB8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预付款扣回的方式：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DB35041">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12.2.2 预付款担保</w:t>
      </w:r>
    </w:p>
    <w:p w14:paraId="0C6BAF1E">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承包人提交预付款担保的期限：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F34F00A">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预付款担保的形式为：</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bookmarkEnd w:id="430"/>
    <w:bookmarkEnd w:id="431"/>
    <w:bookmarkEnd w:id="432"/>
    <w:bookmarkEnd w:id="433"/>
    <w:bookmarkEnd w:id="434"/>
    <w:bookmarkEnd w:id="435"/>
    <w:bookmarkEnd w:id="436"/>
    <w:bookmarkEnd w:id="437"/>
    <w:bookmarkEnd w:id="438"/>
    <w:bookmarkEnd w:id="439"/>
    <w:p w14:paraId="058918DE">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12.3 计量</w:t>
      </w:r>
    </w:p>
    <w:p w14:paraId="764D353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12.3.1 计量原则</w:t>
      </w:r>
    </w:p>
    <w:p w14:paraId="4D62F75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工程量计算规则：</w:t>
      </w:r>
      <w:r>
        <w:rPr>
          <w:rFonts w:hint="eastAsia" w:ascii="宋体" w:hAnsi="宋体" w:eastAsia="宋体" w:cs="宋体"/>
          <w:color w:val="auto"/>
          <w:sz w:val="24"/>
          <w:szCs w:val="24"/>
          <w:u w:val="single"/>
        </w:rPr>
        <w:t xml:space="preserve">    符合最新颁布的国家及行业标准  </w:t>
      </w:r>
      <w:r>
        <w:rPr>
          <w:rFonts w:hint="eastAsia" w:ascii="宋体" w:hAnsi="宋体" w:eastAsia="宋体" w:cs="宋体"/>
          <w:color w:val="auto"/>
          <w:sz w:val="24"/>
          <w:szCs w:val="24"/>
        </w:rPr>
        <w:t>。</w:t>
      </w:r>
    </w:p>
    <w:p w14:paraId="40660E20">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12.3.2 计量周期</w:t>
      </w:r>
    </w:p>
    <w:p w14:paraId="0E178C22">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关于计量周期的约定：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AF1D2A">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12.3.3 单价合同的计量</w:t>
      </w:r>
    </w:p>
    <w:p w14:paraId="3FF59F6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关于单价合同计量的约定：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273BF4E">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12.3.4 总价合同的计量</w:t>
      </w:r>
    </w:p>
    <w:p w14:paraId="775FE41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关于总价合同计量的约定：</w:t>
      </w:r>
      <w:r>
        <w:rPr>
          <w:rFonts w:hint="eastAsia" w:ascii="宋体" w:hAnsi="宋体" w:eastAsia="宋体" w:cs="宋体"/>
          <w:color w:val="auto"/>
          <w:sz w:val="24"/>
          <w:szCs w:val="24"/>
          <w:u w:val="single"/>
        </w:rPr>
        <w:t xml:space="preserve">  执行通用条款     </w:t>
      </w:r>
      <w:r>
        <w:rPr>
          <w:rFonts w:hint="eastAsia" w:ascii="宋体" w:hAnsi="宋体" w:eastAsia="宋体" w:cs="宋体"/>
          <w:color w:val="auto"/>
          <w:sz w:val="24"/>
          <w:szCs w:val="24"/>
        </w:rPr>
        <w:t>。</w:t>
      </w:r>
    </w:p>
    <w:p w14:paraId="68153A3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12.3.5总价合同采用支付分解表计量支付的，是否适用第</w:t>
      </w:r>
      <w:r>
        <w:rPr>
          <w:rFonts w:hint="eastAsia" w:ascii="宋体" w:hAnsi="宋体" w:eastAsia="宋体" w:cs="宋体"/>
          <w:color w:val="auto"/>
          <w:kern w:val="0"/>
          <w:sz w:val="24"/>
          <w:szCs w:val="24"/>
        </w:rPr>
        <w:t xml:space="preserve">12.3.4 </w:t>
      </w:r>
      <w:r>
        <w:rPr>
          <w:rFonts w:hint="eastAsia" w:ascii="宋体" w:hAnsi="宋体" w:eastAsia="宋体" w:cs="宋体"/>
          <w:color w:val="auto"/>
          <w:sz w:val="24"/>
          <w:szCs w:val="24"/>
        </w:rPr>
        <w:t>项</w:t>
      </w:r>
      <w:r>
        <w:rPr>
          <w:rFonts w:hint="eastAsia" w:ascii="宋体" w:hAnsi="宋体" w:eastAsia="宋体" w:cs="宋体"/>
          <w:color w:val="auto"/>
          <w:kern w:val="0"/>
          <w:sz w:val="24"/>
          <w:szCs w:val="24"/>
        </w:rPr>
        <w:t>〔总价合同的计量〕</w:t>
      </w:r>
      <w:r>
        <w:rPr>
          <w:rFonts w:hint="eastAsia" w:ascii="宋体" w:hAnsi="宋体" w:eastAsia="宋体" w:cs="宋体"/>
          <w:color w:val="auto"/>
          <w:sz w:val="24"/>
          <w:szCs w:val="24"/>
        </w:rPr>
        <w:t>约定进行计量：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4A1CB72">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12.3.6 其他价格形式合同的计量</w:t>
      </w:r>
    </w:p>
    <w:p w14:paraId="10EF1B2B">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其他价格形式的计量方式和程序：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684F7528">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DAAACC4">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12.4 工程进度款支付</w:t>
      </w:r>
    </w:p>
    <w:p w14:paraId="0AB8CDA8">
      <w:pPr>
        <w:adjustRightInd w:val="0"/>
        <w:snapToGrid w:val="0"/>
        <w:spacing w:line="360" w:lineRule="auto"/>
        <w:ind w:firstLine="480" w:firstLineChars="200"/>
        <w:jc w:val="left"/>
        <w:rPr>
          <w:rFonts w:hint="eastAsia" w:ascii="宋体" w:hAnsi="宋体" w:eastAsia="宋体" w:cs="宋体"/>
          <w:color w:val="auto"/>
          <w:sz w:val="24"/>
          <w:szCs w:val="24"/>
        </w:rPr>
      </w:pPr>
      <w:bookmarkStart w:id="440" w:name="_Toc296891039"/>
      <w:bookmarkStart w:id="441" w:name="_Toc297216215"/>
      <w:bookmarkStart w:id="442" w:name="_Toc296891251"/>
      <w:bookmarkStart w:id="443" w:name="_Toc296503211"/>
      <w:bookmarkStart w:id="444" w:name="_Toc292559416"/>
      <w:bookmarkStart w:id="445" w:name="_Toc296944550"/>
      <w:bookmarkStart w:id="446" w:name="_Toc296347210"/>
      <w:bookmarkStart w:id="447" w:name="_Toc303539163"/>
      <w:bookmarkStart w:id="448" w:name="_Toc297123556"/>
      <w:bookmarkStart w:id="449" w:name="_Toc300935006"/>
      <w:bookmarkStart w:id="450" w:name="_Toc292559921"/>
      <w:bookmarkStart w:id="451" w:name="_Toc297048397"/>
      <w:bookmarkStart w:id="452" w:name="_Toc297120511"/>
      <w:bookmarkStart w:id="453" w:name="_Toc296346712"/>
      <w:r>
        <w:rPr>
          <w:rFonts w:hint="eastAsia" w:ascii="宋体" w:hAnsi="宋体" w:eastAsia="宋体" w:cs="宋体"/>
          <w:color w:val="auto"/>
          <w:sz w:val="24"/>
          <w:szCs w:val="24"/>
        </w:rPr>
        <w:t>12.4.1 付款周期</w:t>
      </w:r>
    </w:p>
    <w:p w14:paraId="2AE68728">
      <w:pPr>
        <w:adjustRightInd w:val="0"/>
        <w:snapToGrid w:val="0"/>
        <w:spacing w:line="360" w:lineRule="auto"/>
        <w:ind w:firstLine="480" w:firstLineChars="200"/>
        <w:jc w:val="left"/>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1、乙方按照约定，工程全部完工并经甲方验收合格，且甲方收到乙方提供的等额合法发票后15个工作日内，甲方向乙方支付工程总价款。</w:t>
      </w:r>
    </w:p>
    <w:p w14:paraId="48C5D7CB">
      <w:pPr>
        <w:adjustRightInd w:val="0"/>
        <w:snapToGrid w:val="0"/>
        <w:spacing w:line="360" w:lineRule="auto"/>
        <w:ind w:firstLine="480" w:firstLineChars="200"/>
        <w:jc w:val="left"/>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（如有需求，可支付30%的预付款）</w:t>
      </w:r>
    </w:p>
    <w:p w14:paraId="7DB38F32">
      <w:pPr>
        <w:adjustRightInd w:val="0"/>
        <w:snapToGrid w:val="0"/>
        <w:spacing w:line="360" w:lineRule="auto"/>
        <w:ind w:firstLine="480" w:firstLineChars="200"/>
        <w:jc w:val="left"/>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2、履约保证金收取方式为：在甲方支付乙方第一笔款项前，乙方需</w:t>
      </w:r>
      <w:r>
        <w:rPr>
          <w:rFonts w:hint="eastAsia" w:ascii="宋体" w:hAnsi="宋体" w:eastAsia="宋体" w:cs="宋体"/>
          <w:color w:val="auto"/>
          <w:sz w:val="24"/>
          <w:szCs w:val="24"/>
          <w:u w:val="none"/>
        </w:rPr>
        <w:t>按照</w:t>
      </w:r>
      <w:r>
        <w:rPr>
          <w:rFonts w:hint="eastAsia" w:ascii="宋体" w:hAnsi="宋体" w:eastAsia="宋体" w:cs="宋体"/>
          <w:color w:val="auto"/>
          <w:sz w:val="24"/>
          <w:szCs w:val="24"/>
          <w:u w:val="none"/>
          <w:lang w:eastAsia="zh-CN"/>
        </w:rPr>
        <w:t>甲方要求</w:t>
      </w:r>
      <w:r>
        <w:rPr>
          <w:rFonts w:hint="eastAsia" w:ascii="宋体" w:hAnsi="宋体" w:eastAsia="宋体" w:cs="宋体"/>
          <w:color w:val="auto"/>
          <w:sz w:val="24"/>
          <w:szCs w:val="24"/>
          <w:u w:val="none"/>
          <w:lang w:val="en-US" w:eastAsia="zh-CN"/>
        </w:rPr>
        <w:t>将履约保证金缴纳至分中心账户。履约保证金为合同总价款的5%。</w:t>
      </w:r>
    </w:p>
    <w:p w14:paraId="5F87AD60">
      <w:pPr>
        <w:adjustRightInd w:val="0"/>
        <w:snapToGrid w:val="0"/>
        <w:spacing w:line="360" w:lineRule="auto"/>
        <w:ind w:firstLine="480" w:firstLineChars="200"/>
        <w:jc w:val="left"/>
        <w:rPr>
          <w:rFonts w:hint="eastAsia" w:ascii="宋体" w:hAnsi="宋体" w:eastAsia="宋体" w:cs="宋体"/>
          <w:color w:val="auto"/>
          <w:sz w:val="24"/>
          <w:szCs w:val="24"/>
          <w:u w:val="none"/>
          <w:lang w:eastAsia="zh-CN"/>
        </w:rPr>
      </w:pPr>
      <w:r>
        <w:rPr>
          <w:rFonts w:hint="eastAsia" w:ascii="宋体" w:hAnsi="宋体" w:eastAsia="宋体" w:cs="宋体"/>
          <w:color w:val="auto"/>
          <w:sz w:val="24"/>
          <w:szCs w:val="24"/>
          <w:u w:val="none"/>
          <w:lang w:eastAsia="zh-CN"/>
        </w:rPr>
        <w:t>退还：工程全部完工并经甲方验收合格后，待质保期结束后，双方如无异议，上报退还质量保证金请示，待省中心审批后，方可退还。</w:t>
      </w:r>
    </w:p>
    <w:p w14:paraId="2C5B3F5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12.4.2 进度付款申请单的编制</w:t>
      </w:r>
    </w:p>
    <w:p w14:paraId="3BB7341F">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关于进度付款申请单编制的约定：</w:t>
      </w:r>
      <w:r>
        <w:rPr>
          <w:rFonts w:hint="eastAsia" w:ascii="宋体" w:hAnsi="宋体" w:eastAsia="宋体" w:cs="宋体"/>
          <w:color w:val="auto"/>
          <w:sz w:val="24"/>
          <w:szCs w:val="24"/>
          <w:u w:val="single"/>
        </w:rPr>
        <w:t xml:space="preserve">   应附相关证明材料   </w:t>
      </w:r>
      <w:r>
        <w:rPr>
          <w:rFonts w:hint="eastAsia" w:ascii="宋体" w:hAnsi="宋体" w:eastAsia="宋体" w:cs="宋体"/>
          <w:color w:val="auto"/>
          <w:sz w:val="24"/>
          <w:szCs w:val="24"/>
        </w:rPr>
        <w:t>。</w:t>
      </w:r>
    </w:p>
    <w:p w14:paraId="078FADD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rFonts w:hint="eastAsia" w:ascii="宋体" w:hAnsi="宋体" w:eastAsia="宋体" w:cs="宋体"/>
          <w:color w:val="auto"/>
          <w:sz w:val="24"/>
          <w:szCs w:val="24"/>
        </w:rPr>
        <w:t>2.4.3 进度付款申请单的提交</w:t>
      </w:r>
    </w:p>
    <w:p w14:paraId="13E779F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（1）单价合同进度付款申请单提交的约定：</w:t>
      </w:r>
      <w:r>
        <w:rPr>
          <w:rFonts w:hint="eastAsia" w:ascii="宋体" w:hAnsi="宋体" w:eastAsia="宋体" w:cs="宋体"/>
          <w:color w:val="auto"/>
          <w:sz w:val="24"/>
          <w:szCs w:val="24"/>
          <w:u w:val="single"/>
        </w:rPr>
        <w:t xml:space="preserve">   应附相关证明材料   </w:t>
      </w:r>
      <w:r>
        <w:rPr>
          <w:rFonts w:hint="eastAsia" w:ascii="宋体" w:hAnsi="宋体" w:eastAsia="宋体" w:cs="宋体"/>
          <w:color w:val="auto"/>
          <w:sz w:val="24"/>
          <w:szCs w:val="24"/>
        </w:rPr>
        <w:t>。</w:t>
      </w:r>
    </w:p>
    <w:p w14:paraId="2C28D58F">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（2）总价合同进度付款申请单提交的约定：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025E0667">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（3）其他价格形式合同进度付款申请单提交的约定：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4B27C03">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12.4.4 进度款审核和支付</w:t>
      </w:r>
    </w:p>
    <w:p w14:paraId="794C9F50">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（1）监理人审查并报送发包人的期限：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17F817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发包人完成审批并签发进度款支付证书的期限：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BDBA2D3">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（2）发包人支付进度款的期限：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B429D4D">
      <w:pPr>
        <w:adjustRightInd w:val="0"/>
        <w:snapToGrid w:val="0"/>
        <w:spacing w:line="360" w:lineRule="auto"/>
        <w:ind w:firstLine="600" w:firstLineChars="25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发包人逾期支付进度款的违约金的计算方式：</w:t>
      </w:r>
      <w:r>
        <w:rPr>
          <w:rFonts w:hint="eastAsia" w:ascii="宋体" w:hAnsi="宋体" w:eastAsia="宋体" w:cs="宋体"/>
          <w:color w:val="auto"/>
          <w:sz w:val="24"/>
          <w:szCs w:val="24"/>
          <w:u w:val="single"/>
        </w:rPr>
        <w:t xml:space="preserve">   无     </w:t>
      </w:r>
      <w:r>
        <w:rPr>
          <w:rFonts w:hint="eastAsia" w:ascii="宋体" w:hAnsi="宋体" w:eastAsia="宋体" w:cs="宋体"/>
          <w:color w:val="auto"/>
          <w:sz w:val="24"/>
          <w:szCs w:val="24"/>
        </w:rPr>
        <w:t>。</w:t>
      </w:r>
    </w:p>
    <w:p w14:paraId="4576B1E6">
      <w:pPr>
        <w:adjustRightInd w:val="0"/>
        <w:snapToGrid w:val="0"/>
        <w:spacing w:line="360" w:lineRule="auto"/>
        <w:ind w:firstLine="600" w:firstLineChars="250"/>
        <w:jc w:val="left"/>
        <w:rPr>
          <w:rFonts w:hint="eastAsia" w:ascii="宋体" w:hAnsi="宋体" w:eastAsia="宋体" w:cs="宋体"/>
          <w:color w:val="auto"/>
          <w:sz w:val="24"/>
          <w:szCs w:val="24"/>
        </w:rPr>
      </w:pPr>
      <w:r>
        <w:rPr>
          <w:rFonts w:hint="eastAsia" w:ascii="宋体" w:hAnsi="宋体" w:eastAsia="宋体" w:cs="宋体"/>
          <w:color w:val="auto"/>
          <w:sz w:val="24"/>
          <w:szCs w:val="24"/>
        </w:rPr>
        <w:t>12.4.6 支付分解表的编制</w:t>
      </w:r>
    </w:p>
    <w:p w14:paraId="3AF0F6B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2、总价合同支付分解表的编制与审批：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BB51D17">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3、单价合同的总价项目支付分解表的编制与审批：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283"/>
    <w:p w14:paraId="25F8DB0A">
      <w:pPr>
        <w:adjustRightInd w:val="0"/>
        <w:snapToGrid w:val="0"/>
        <w:spacing w:line="360" w:lineRule="auto"/>
        <w:rPr>
          <w:rFonts w:hint="eastAsia" w:ascii="宋体" w:hAnsi="宋体" w:eastAsia="宋体" w:cs="宋体"/>
          <w:color w:val="auto"/>
          <w:sz w:val="24"/>
          <w:szCs w:val="24"/>
        </w:rPr>
      </w:pPr>
      <w:bookmarkStart w:id="454" w:name="_Toc351203645"/>
      <w:bookmarkStart w:id="455" w:name="_Toc292559424"/>
      <w:bookmarkStart w:id="456" w:name="_Toc297120519"/>
      <w:bookmarkStart w:id="457" w:name="_Toc296503219"/>
      <w:bookmarkStart w:id="458" w:name="_Toc304295593"/>
      <w:bookmarkStart w:id="459" w:name="_Toc296347218"/>
      <w:bookmarkStart w:id="460" w:name="_Toc296891047"/>
      <w:bookmarkStart w:id="461" w:name="_Toc300935015"/>
      <w:bookmarkStart w:id="462" w:name="_Toc292559929"/>
      <w:bookmarkStart w:id="463" w:name="_Toc303539172"/>
      <w:bookmarkStart w:id="464" w:name="_Toc296346720"/>
      <w:bookmarkStart w:id="465" w:name="_Toc296891259"/>
      <w:bookmarkStart w:id="466" w:name="_Toc312678053"/>
      <w:bookmarkStart w:id="467" w:name="_Toc297123564"/>
      <w:bookmarkStart w:id="468" w:name="_Toc297216223"/>
      <w:bookmarkStart w:id="469" w:name="_Toc297048405"/>
      <w:bookmarkStart w:id="470" w:name="_Toc296944558"/>
      <w:r>
        <w:rPr>
          <w:rFonts w:hint="eastAsia" w:ascii="宋体" w:hAnsi="宋体" w:eastAsia="宋体" w:cs="宋体"/>
          <w:color w:val="auto"/>
          <w:sz w:val="24"/>
          <w:szCs w:val="24"/>
        </w:rPr>
        <w:t>13. 验收和</w:t>
      </w:r>
      <w:r>
        <w:rPr>
          <w:rFonts w:hint="eastAsia" w:ascii="宋体" w:hAnsi="宋体" w:eastAsia="宋体" w:cs="宋体"/>
          <w:color w:val="auto"/>
          <w:kern w:val="0"/>
          <w:sz w:val="24"/>
          <w:szCs w:val="24"/>
        </w:rPr>
        <w:t>工程</w:t>
      </w:r>
      <w:r>
        <w:rPr>
          <w:rFonts w:hint="eastAsia" w:ascii="宋体" w:hAnsi="宋体" w:eastAsia="宋体" w:cs="宋体"/>
          <w:color w:val="auto"/>
          <w:sz w:val="24"/>
          <w:szCs w:val="24"/>
        </w:rPr>
        <w:t>试车</w:t>
      </w:r>
      <w:bookmarkEnd w:id="454"/>
    </w:p>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14:paraId="05226EC6">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13.1 分部分项工程验收</w:t>
      </w:r>
    </w:p>
    <w:p w14:paraId="554A1A4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13.1.2监理人不能按时进行验收时，应提前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小时提交书面延期要求。</w:t>
      </w:r>
    </w:p>
    <w:p w14:paraId="5B8BB37E">
      <w:pPr>
        <w:adjustRightInd w:val="0"/>
        <w:snapToGrid w:val="0"/>
        <w:spacing w:line="360" w:lineRule="auto"/>
        <w:ind w:firstLine="480" w:firstLineChars="200"/>
        <w:jc w:val="left"/>
        <w:rPr>
          <w:rFonts w:hint="eastAsia" w:ascii="宋体" w:hAnsi="宋体" w:eastAsia="宋体" w:cs="宋体"/>
          <w:b/>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w:t>
      </w:r>
    </w:p>
    <w:p w14:paraId="2C6C29AD">
      <w:pPr>
        <w:adjustRightInd w:val="0"/>
        <w:snapToGrid w:val="0"/>
        <w:spacing w:after="120" w:line="360" w:lineRule="auto"/>
        <w:ind w:firstLine="480" w:firstLineChars="200"/>
        <w:rPr>
          <w:rFonts w:hint="eastAsia" w:ascii="宋体" w:hAnsi="宋体" w:eastAsia="宋体" w:cs="宋体"/>
          <w:color w:val="auto"/>
          <w:sz w:val="24"/>
          <w:szCs w:val="24"/>
        </w:rPr>
      </w:pPr>
      <w:bookmarkStart w:id="471" w:name="_Toc296503223"/>
      <w:bookmarkStart w:id="472" w:name="_Toc303539173"/>
      <w:bookmarkStart w:id="473" w:name="_Toc296346724"/>
      <w:bookmarkStart w:id="474" w:name="_Toc297048409"/>
      <w:bookmarkStart w:id="475" w:name="_Toc297120523"/>
      <w:bookmarkStart w:id="476" w:name="_Toc292559933"/>
      <w:bookmarkStart w:id="477" w:name="_Toc312678056"/>
      <w:bookmarkStart w:id="478" w:name="_Toc297216224"/>
      <w:bookmarkStart w:id="479" w:name="_Toc296891051"/>
      <w:bookmarkStart w:id="480" w:name="_Toc296347222"/>
      <w:bookmarkStart w:id="481" w:name="_Toc292559428"/>
      <w:bookmarkStart w:id="482" w:name="_Toc300935016"/>
      <w:bookmarkStart w:id="483" w:name="_Toc296891263"/>
      <w:bookmarkStart w:id="484" w:name="_Toc304295596"/>
      <w:bookmarkStart w:id="485" w:name="_Toc297123565"/>
      <w:bookmarkStart w:id="486" w:name="_Toc296944562"/>
      <w:bookmarkStart w:id="487" w:name="_Toc267251470"/>
      <w:bookmarkStart w:id="488" w:name="_Toc267251471"/>
      <w:bookmarkStart w:id="489" w:name="_Toc267251475"/>
      <w:bookmarkStart w:id="490" w:name="_Toc267251472"/>
      <w:bookmarkStart w:id="491" w:name="_Toc267251476"/>
      <w:bookmarkStart w:id="492" w:name="_Toc267251474"/>
      <w:bookmarkStart w:id="493" w:name="_Toc267251473"/>
      <w:r>
        <w:rPr>
          <w:rFonts w:hint="eastAsia" w:ascii="宋体" w:hAnsi="宋体" w:eastAsia="宋体" w:cs="宋体"/>
          <w:color w:val="auto"/>
          <w:sz w:val="24"/>
          <w:szCs w:val="24"/>
        </w:rPr>
        <w:t>13.2 竣工验收</w:t>
      </w:r>
    </w:p>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14:paraId="195D6DD1">
      <w:pPr>
        <w:adjustRightInd w:val="0"/>
        <w:snapToGrid w:val="0"/>
        <w:spacing w:line="360" w:lineRule="auto"/>
        <w:ind w:firstLine="480" w:firstLineChars="200"/>
        <w:jc w:val="left"/>
        <w:rPr>
          <w:rFonts w:hint="eastAsia" w:ascii="宋体" w:hAnsi="宋体" w:eastAsia="宋体" w:cs="宋体"/>
          <w:color w:val="auto"/>
          <w:sz w:val="24"/>
          <w:szCs w:val="24"/>
        </w:rPr>
      </w:pPr>
      <w:bookmarkStart w:id="494" w:name="_Toc280868704"/>
      <w:bookmarkStart w:id="495" w:name="_Toc280868705"/>
      <w:bookmarkStart w:id="496" w:name="_Toc280868706"/>
      <w:bookmarkStart w:id="497" w:name="_Toc280868707"/>
      <w:bookmarkStart w:id="498" w:name="_Toc280868708"/>
      <w:bookmarkStart w:id="499" w:name="_Toc280868709"/>
      <w:r>
        <w:rPr>
          <w:rFonts w:hint="eastAsia" w:ascii="宋体" w:hAnsi="宋体" w:eastAsia="宋体" w:cs="宋体"/>
          <w:color w:val="auto"/>
          <w:sz w:val="24"/>
          <w:szCs w:val="24"/>
        </w:rPr>
        <w:t>13.2.2竣工验收程序</w:t>
      </w:r>
    </w:p>
    <w:bookmarkEnd w:id="494"/>
    <w:p w14:paraId="493A4F0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关于竣工验收程序的约定：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u w:val="single"/>
        </w:rPr>
        <w:t>执行通用条款</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6C4CE55">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发包人不按照本项约定组织竣工验收、颁发工程接收证书的违约金的计算方法：</w:t>
      </w:r>
    </w:p>
    <w:p w14:paraId="1A55A3BA">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按通用条款执行 </w:t>
      </w:r>
      <w:r>
        <w:rPr>
          <w:rFonts w:hint="eastAsia" w:ascii="宋体" w:hAnsi="宋体" w:eastAsia="宋体" w:cs="宋体"/>
          <w:color w:val="auto"/>
          <w:sz w:val="24"/>
          <w:szCs w:val="24"/>
        </w:rPr>
        <w:t>。</w:t>
      </w:r>
    </w:p>
    <w:bookmarkEnd w:id="495"/>
    <w:p w14:paraId="6E1AEDD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13.2.5移交、接收全部与部分工程</w:t>
      </w:r>
    </w:p>
    <w:bookmarkEnd w:id="496"/>
    <w:p w14:paraId="0E38EB44">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承包人向发包人移交工程的期限：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26CD4BE">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发包人未按本合同约定接收全部或部分工程的，违约金的计算方法为：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497"/>
    <w:p w14:paraId="48280C6A">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承包人未按时移交工程的，违约金的计算方法为：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55A6D013">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07D36A">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13.3 工程试车</w:t>
      </w:r>
    </w:p>
    <w:bookmarkEnd w:id="498"/>
    <w:p w14:paraId="04C51BE4">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13.3.1 试车程序</w:t>
      </w:r>
    </w:p>
    <w:p w14:paraId="7E36753C">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工程试车内容：</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F455943">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（1）单机无负荷试车费用由</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承担；</w:t>
      </w:r>
    </w:p>
    <w:p w14:paraId="045C2FD5">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（2）无负荷联动试车费用由</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承担。</w:t>
      </w:r>
    </w:p>
    <w:p w14:paraId="64A8F46D">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13.3.3 投料试车</w:t>
      </w:r>
    </w:p>
    <w:p w14:paraId="468F8ED8">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关于投料试车相关事项的约定：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09C7A381">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13.6 竣工退场</w:t>
      </w:r>
    </w:p>
    <w:p w14:paraId="4876AC1B">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13.6.1 竣工退场</w:t>
      </w:r>
    </w:p>
    <w:p w14:paraId="01647FF2">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承包人完成竣工退场的期限：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w:t>
      </w:r>
    </w:p>
    <w:p w14:paraId="5A84BCF0">
      <w:pPr>
        <w:adjustRightInd w:val="0"/>
        <w:snapToGrid w:val="0"/>
        <w:spacing w:line="360" w:lineRule="auto"/>
        <w:rPr>
          <w:rFonts w:hint="eastAsia" w:ascii="宋体" w:hAnsi="宋体" w:eastAsia="宋体" w:cs="宋体"/>
          <w:color w:val="auto"/>
          <w:sz w:val="24"/>
          <w:szCs w:val="24"/>
        </w:rPr>
      </w:pPr>
      <w:bookmarkStart w:id="500" w:name="_Toc351203646"/>
      <w:r>
        <w:rPr>
          <w:rFonts w:hint="eastAsia" w:ascii="宋体" w:hAnsi="宋体" w:eastAsia="宋体" w:cs="宋体"/>
          <w:color w:val="auto"/>
          <w:sz w:val="24"/>
          <w:szCs w:val="24"/>
        </w:rPr>
        <w:t>14. 竣工</w:t>
      </w:r>
      <w:r>
        <w:rPr>
          <w:rFonts w:hint="eastAsia" w:ascii="宋体" w:hAnsi="宋体" w:eastAsia="宋体" w:cs="宋体"/>
          <w:color w:val="auto"/>
          <w:kern w:val="0"/>
          <w:sz w:val="24"/>
          <w:szCs w:val="24"/>
        </w:rPr>
        <w:t>结算</w:t>
      </w:r>
      <w:bookmarkEnd w:id="500"/>
    </w:p>
    <w:p w14:paraId="05E6C4BE">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14.1 竣工结算申请</w:t>
      </w:r>
    </w:p>
    <w:p w14:paraId="5FAC4E7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承包人提交竣工结算申请单的期限：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1D5552E">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竣工结算申请单应包括的内容：</w:t>
      </w:r>
      <w:r>
        <w:rPr>
          <w:rFonts w:hint="eastAsia" w:ascii="宋体" w:hAnsi="宋体" w:eastAsia="宋体" w:cs="宋体"/>
          <w:color w:val="auto"/>
          <w:sz w:val="24"/>
          <w:szCs w:val="24"/>
          <w:u w:val="single"/>
        </w:rPr>
        <w:t xml:space="preserve">                        </w:t>
      </w:r>
    </w:p>
    <w:p w14:paraId="779E68C5">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52CAE3">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14.2 竣工结算审核</w:t>
      </w:r>
    </w:p>
    <w:p w14:paraId="7DBD9CC2">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发包人审批竣工付款申请单的期限：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5859C5E">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发包人完成竣工付款的期限：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517B94C">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关于竣工付款证书异议部分复核的方式和程序：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1ACF1644">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F8E0E95">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14.4 最终结清</w:t>
      </w:r>
    </w:p>
    <w:p w14:paraId="739F604D">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14.4.1 最终结清申请单</w:t>
      </w:r>
    </w:p>
    <w:p w14:paraId="23B97F65">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承包人提交最终结清申请单的份数：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95C63E5">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承包人提交最终结算申请单的期限：</w:t>
      </w:r>
      <w:r>
        <w:rPr>
          <w:rFonts w:hint="eastAsia" w:ascii="宋体" w:hAnsi="宋体" w:eastAsia="宋体" w:cs="宋体"/>
          <w:color w:val="auto"/>
          <w:sz w:val="24"/>
          <w:szCs w:val="24"/>
          <w:u w:val="single"/>
        </w:rPr>
        <w:t xml:space="preserve">  工程竣工14日内  </w:t>
      </w:r>
      <w:r>
        <w:rPr>
          <w:rFonts w:hint="eastAsia" w:ascii="宋体" w:hAnsi="宋体" w:eastAsia="宋体" w:cs="宋体"/>
          <w:color w:val="auto"/>
          <w:sz w:val="24"/>
          <w:szCs w:val="24"/>
        </w:rPr>
        <w:t xml:space="preserve">。 </w:t>
      </w:r>
    </w:p>
    <w:p w14:paraId="034CCFB3">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14.4.2 最终结清证书和支付</w:t>
      </w:r>
    </w:p>
    <w:p w14:paraId="20DFD8E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（1）发包人完成最终结清申请单的审批并颁发最终结清证书的期限：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1984AA2">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（2）发包人完成支付的期限：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487"/>
    <w:bookmarkEnd w:id="488"/>
    <w:bookmarkEnd w:id="489"/>
    <w:bookmarkEnd w:id="490"/>
    <w:bookmarkEnd w:id="491"/>
    <w:bookmarkEnd w:id="492"/>
    <w:bookmarkEnd w:id="493"/>
    <w:bookmarkEnd w:id="499"/>
    <w:p w14:paraId="72CA4278">
      <w:pPr>
        <w:adjustRightInd w:val="0"/>
        <w:snapToGrid w:val="0"/>
        <w:spacing w:line="360" w:lineRule="auto"/>
        <w:rPr>
          <w:rFonts w:hint="eastAsia" w:ascii="宋体" w:hAnsi="宋体" w:eastAsia="宋体" w:cs="宋体"/>
          <w:color w:val="auto"/>
          <w:sz w:val="24"/>
          <w:szCs w:val="24"/>
        </w:rPr>
      </w:pPr>
      <w:bookmarkStart w:id="501" w:name="_Toc351203647"/>
      <w:bookmarkStart w:id="502" w:name="_Toc267251483"/>
      <w:bookmarkStart w:id="503" w:name="_Toc267251484"/>
      <w:bookmarkStart w:id="504" w:name="_Toc267251482"/>
      <w:bookmarkStart w:id="505" w:name="_Toc267251485"/>
      <w:bookmarkStart w:id="506" w:name="_Toc267251488"/>
      <w:bookmarkStart w:id="507" w:name="_Toc267251486"/>
      <w:bookmarkStart w:id="508" w:name="_Toc267251489"/>
      <w:bookmarkStart w:id="509" w:name="_Toc267251490"/>
      <w:bookmarkStart w:id="510" w:name="_Toc267251495"/>
      <w:bookmarkStart w:id="511" w:name="_Toc267251492"/>
      <w:bookmarkStart w:id="512" w:name="_Toc267251491"/>
      <w:bookmarkStart w:id="513" w:name="_Toc267251499"/>
      <w:bookmarkStart w:id="514" w:name="_Toc267251494"/>
      <w:bookmarkStart w:id="515" w:name="_Toc267251498"/>
      <w:bookmarkStart w:id="516" w:name="_Toc267251502"/>
      <w:bookmarkStart w:id="517" w:name="_Toc267251496"/>
      <w:bookmarkStart w:id="518" w:name="_Toc267251497"/>
      <w:bookmarkStart w:id="519" w:name="_Toc267251503"/>
      <w:bookmarkStart w:id="520" w:name="_Toc267251493"/>
      <w:bookmarkStart w:id="521" w:name="_Toc267251501"/>
      <w:bookmarkStart w:id="522" w:name="_Toc267251506"/>
      <w:bookmarkStart w:id="523" w:name="_Toc267251504"/>
      <w:bookmarkStart w:id="524" w:name="_Toc267251507"/>
      <w:bookmarkStart w:id="525" w:name="_Toc267251508"/>
      <w:bookmarkStart w:id="526" w:name="_Toc267251515"/>
      <w:bookmarkStart w:id="527" w:name="_Toc267251509"/>
      <w:bookmarkStart w:id="528" w:name="_Toc267251513"/>
      <w:bookmarkStart w:id="529" w:name="_Toc267251514"/>
      <w:bookmarkStart w:id="530" w:name="_Toc267251510"/>
      <w:bookmarkStart w:id="531" w:name="_Toc267251511"/>
      <w:r>
        <w:rPr>
          <w:rFonts w:hint="eastAsia" w:ascii="宋体" w:hAnsi="宋体" w:eastAsia="宋体" w:cs="宋体"/>
          <w:color w:val="auto"/>
          <w:sz w:val="24"/>
          <w:szCs w:val="24"/>
        </w:rPr>
        <w:t>15. 缺陷责任期与保修</w:t>
      </w:r>
      <w:bookmarkEnd w:id="501"/>
    </w:p>
    <w:p w14:paraId="2ADEAD86">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15.2缺陷责任期</w:t>
      </w:r>
      <w:bookmarkEnd w:id="502"/>
    </w:p>
    <w:p w14:paraId="1887F63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缺陷责任期的具体期限：</w:t>
      </w:r>
      <w:r>
        <w:rPr>
          <w:rFonts w:hint="eastAsia" w:ascii="宋体" w:hAnsi="宋体" w:eastAsia="宋体" w:cs="宋体"/>
          <w:color w:val="auto"/>
          <w:sz w:val="24"/>
          <w:szCs w:val="24"/>
          <w:u w:val="single"/>
        </w:rPr>
        <w:t xml:space="preserve"> 自竣工验收合格后2年 </w:t>
      </w:r>
      <w:r>
        <w:rPr>
          <w:rFonts w:hint="eastAsia" w:ascii="宋体" w:hAnsi="宋体" w:eastAsia="宋体" w:cs="宋体"/>
          <w:color w:val="auto"/>
          <w:sz w:val="24"/>
          <w:szCs w:val="24"/>
        </w:rPr>
        <w:t>。</w:t>
      </w:r>
    </w:p>
    <w:p w14:paraId="2951429C">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15.3 质量</w:t>
      </w:r>
      <w:r>
        <w:rPr>
          <w:rFonts w:hint="eastAsia" w:ascii="宋体" w:hAnsi="宋体" w:eastAsia="宋体" w:cs="宋体"/>
          <w:color w:val="auto"/>
          <w:kern w:val="0"/>
          <w:sz w:val="24"/>
          <w:szCs w:val="24"/>
        </w:rPr>
        <w:t>保证金</w:t>
      </w:r>
    </w:p>
    <w:p w14:paraId="6440A35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关于是否扣留质量保证金的约定：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。在工程项目竣工前，承包人按专用合同条款第3.7条提供履约担保的，发包人不得同时预留工程质量保证金。</w:t>
      </w:r>
    </w:p>
    <w:p w14:paraId="5F8304A9">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15.3.1 承包人</w:t>
      </w:r>
      <w:r>
        <w:rPr>
          <w:rFonts w:hint="eastAsia" w:ascii="宋体" w:hAnsi="宋体" w:eastAsia="宋体" w:cs="宋体"/>
          <w:color w:val="auto"/>
          <w:kern w:val="0"/>
          <w:sz w:val="24"/>
          <w:szCs w:val="24"/>
        </w:rPr>
        <w:t>提供</w:t>
      </w:r>
      <w:r>
        <w:rPr>
          <w:rFonts w:hint="eastAsia" w:ascii="宋体" w:hAnsi="宋体" w:eastAsia="宋体" w:cs="宋体"/>
          <w:color w:val="auto"/>
          <w:sz w:val="24"/>
          <w:szCs w:val="24"/>
        </w:rPr>
        <w:t>质量保证金的方式</w:t>
      </w:r>
    </w:p>
    <w:p w14:paraId="63A0DAE9">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6120F7C0">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（1）质量保证金保函，保证金额为：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14:paraId="62F6764A">
      <w:pPr>
        <w:autoSpaceDE w:val="0"/>
        <w:autoSpaceDN w:val="0"/>
        <w:adjustRightInd w:val="0"/>
        <w:snapToGrid w:val="0"/>
        <w:spacing w:line="360" w:lineRule="auto"/>
        <w:ind w:firstLine="480" w:firstLineChars="200"/>
        <w:jc w:val="lef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（2）</w:t>
      </w:r>
      <w:r>
        <w:rPr>
          <w:rFonts w:hint="eastAsia" w:ascii="宋体" w:hAnsi="宋体" w:eastAsia="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rPr>
        <w:t>%的工程款；</w:t>
      </w:r>
    </w:p>
    <w:p w14:paraId="5D9276F1">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3E125DE1">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15.3.2 质量</w:t>
      </w:r>
      <w:r>
        <w:rPr>
          <w:rFonts w:hint="eastAsia" w:ascii="宋体" w:hAnsi="宋体" w:eastAsia="宋体" w:cs="宋体"/>
          <w:color w:val="auto"/>
          <w:kern w:val="0"/>
          <w:sz w:val="24"/>
          <w:szCs w:val="24"/>
        </w:rPr>
        <w:t>保证金</w:t>
      </w:r>
      <w:r>
        <w:rPr>
          <w:rFonts w:hint="eastAsia" w:ascii="宋体" w:hAnsi="宋体" w:eastAsia="宋体" w:cs="宋体"/>
          <w:color w:val="auto"/>
          <w:sz w:val="24"/>
          <w:szCs w:val="24"/>
        </w:rPr>
        <w:t xml:space="preserve">的扣留 </w:t>
      </w:r>
    </w:p>
    <w:p w14:paraId="4FB08BAA">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质量保证金的扣留采取以下第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6C988C86">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（1）在支付工程进度款时逐次扣留，在此情形下，质量保证金的计算基数不包括预付款的支付、扣回以及价格调整的金额；</w:t>
      </w:r>
    </w:p>
    <w:p w14:paraId="06830C79">
      <w:pPr>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（2）工程竣工结算时一次性扣留质量保证金；</w:t>
      </w:r>
    </w:p>
    <w:p w14:paraId="76901436">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（3）其他扣留方式: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DBADA2B">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关于质量保证金的补充约定：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bookmarkEnd w:id="503"/>
    <w:bookmarkEnd w:id="504"/>
    <w:p w14:paraId="62D19DD8">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15.4保修</w:t>
      </w:r>
    </w:p>
    <w:bookmarkEnd w:id="505"/>
    <w:p w14:paraId="155E5281">
      <w:pPr>
        <w:adjustRightInd w:val="0"/>
        <w:snapToGrid w:val="0"/>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15.4.1 保修责任</w:t>
      </w:r>
    </w:p>
    <w:p w14:paraId="3ECA2FEE">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工程保修期为：</w:t>
      </w:r>
      <w:r>
        <w:rPr>
          <w:rFonts w:hint="eastAsia" w:ascii="宋体" w:hAnsi="宋体" w:eastAsia="宋体" w:cs="宋体"/>
          <w:color w:val="auto"/>
          <w:kern w:val="0"/>
          <w:sz w:val="24"/>
          <w:szCs w:val="24"/>
          <w:u w:val="single"/>
        </w:rPr>
        <w:t xml:space="preserve"> 2年  </w:t>
      </w:r>
      <w:r>
        <w:rPr>
          <w:rFonts w:hint="eastAsia" w:ascii="宋体" w:hAnsi="宋体" w:eastAsia="宋体" w:cs="宋体"/>
          <w:color w:val="auto"/>
          <w:kern w:val="0"/>
          <w:sz w:val="24"/>
          <w:szCs w:val="24"/>
        </w:rPr>
        <w:t>。</w:t>
      </w:r>
    </w:p>
    <w:p w14:paraId="22ADE7AB">
      <w:pPr>
        <w:adjustRightInd w:val="0"/>
        <w:snapToGrid w:val="0"/>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15.4.3 修复通知</w:t>
      </w:r>
    </w:p>
    <w:p w14:paraId="5027E278">
      <w:pPr>
        <w:adjustRightInd w:val="0"/>
        <w:snapToGrid w:val="0"/>
        <w:spacing w:line="360" w:lineRule="auto"/>
        <w:ind w:firstLine="468" w:firstLineChars="195"/>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承包人收到保修通知并到达工程现场的合理时间：</w:t>
      </w:r>
      <w:r>
        <w:rPr>
          <w:rFonts w:hint="eastAsia" w:ascii="宋体" w:hAnsi="宋体" w:eastAsia="宋体" w:cs="宋体"/>
          <w:color w:val="auto"/>
          <w:kern w:val="0"/>
          <w:sz w:val="24"/>
          <w:szCs w:val="24"/>
          <w:u w:val="single"/>
        </w:rPr>
        <w:t xml:space="preserve"> 24小时内  </w:t>
      </w:r>
      <w:r>
        <w:rPr>
          <w:rFonts w:hint="eastAsia" w:ascii="宋体" w:hAnsi="宋体" w:eastAsia="宋体" w:cs="宋体"/>
          <w:color w:val="auto"/>
          <w:kern w:val="0"/>
          <w:sz w:val="24"/>
          <w:szCs w:val="24"/>
        </w:rPr>
        <w:t>。</w:t>
      </w:r>
    </w:p>
    <w:bookmarkEnd w:id="506"/>
    <w:bookmarkEnd w:id="507"/>
    <w:bookmarkEnd w:id="508"/>
    <w:bookmarkEnd w:id="509"/>
    <w:p w14:paraId="2B94599E">
      <w:pPr>
        <w:adjustRightInd w:val="0"/>
        <w:snapToGrid w:val="0"/>
        <w:spacing w:line="360" w:lineRule="auto"/>
        <w:rPr>
          <w:rFonts w:hint="eastAsia" w:ascii="宋体" w:hAnsi="宋体" w:eastAsia="宋体" w:cs="宋体"/>
          <w:color w:val="auto"/>
          <w:sz w:val="24"/>
          <w:szCs w:val="24"/>
        </w:rPr>
      </w:pPr>
      <w:bookmarkStart w:id="532" w:name="_Toc351203648"/>
      <w:bookmarkStart w:id="533" w:name="_Toc280868717"/>
      <w:bookmarkStart w:id="534" w:name="_Toc280868718"/>
      <w:r>
        <w:rPr>
          <w:rFonts w:hint="eastAsia" w:ascii="宋体" w:hAnsi="宋体" w:eastAsia="宋体" w:cs="宋体"/>
          <w:color w:val="auto"/>
          <w:sz w:val="24"/>
          <w:szCs w:val="24"/>
        </w:rPr>
        <w:t>16. 违约</w:t>
      </w:r>
      <w:bookmarkEnd w:id="532"/>
    </w:p>
    <w:p w14:paraId="25818030">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16.1 发包人违约</w:t>
      </w:r>
    </w:p>
    <w:p w14:paraId="0E500B0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16.1.1发包人违约的情形</w:t>
      </w:r>
    </w:p>
    <w:p w14:paraId="25CACC78">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发包人违约的其他情形：</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0B53A242">
      <w:pPr>
        <w:adjustRightInd w:val="0"/>
        <w:snapToGrid w:val="0"/>
        <w:spacing w:line="360" w:lineRule="auto"/>
        <w:ind w:left="1200" w:hanging="1200" w:hangingChars="5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16.1.2 发包人违约的责任</w:t>
      </w:r>
    </w:p>
    <w:p w14:paraId="348674DB">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发包人违约责任的承担方式和计算方法：</w:t>
      </w:r>
    </w:p>
    <w:p w14:paraId="472EBCB0">
      <w:pPr>
        <w:adjustRightInd w:val="0"/>
        <w:snapToGrid w:val="0"/>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（1）因发包人原因未能在计划开工日期前7天内下达开工通知的违约责任：</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0494C934">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（2）因发包人原因未能按合同约定支付合同价款的违约责任：</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0098B7C5">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（3）发包人违反第10.1款〔变更的范围〕第（2）项约定，自行实施被取消的工作或转由他人实施的违约责任：</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016348EC">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67D4813A">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（5）因发包人违反合同约定造成暂停施工的违约责任：</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7C0FB884">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（6）发包人无正当理由没有在约定期限内发出复工指示，导致承包人无法复工的违约责任：</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389F69A1">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（7）其他：</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1B8CF4B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16.1.3 因发包人违约解除合同</w:t>
      </w:r>
    </w:p>
    <w:p w14:paraId="0070E056">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承包人按16.1.1项〔发包人违约的情形〕约定暂停施工满</w:t>
      </w:r>
      <w:r>
        <w:rPr>
          <w:rFonts w:hint="eastAsia" w:ascii="宋体" w:hAnsi="宋体" w:eastAsia="宋体" w:cs="宋体"/>
          <w:color w:val="auto"/>
          <w:kern w:val="0"/>
          <w:sz w:val="24"/>
          <w:szCs w:val="24"/>
          <w:u w:val="single"/>
        </w:rPr>
        <w:t xml:space="preserve">  28  </w:t>
      </w:r>
      <w:r>
        <w:rPr>
          <w:rFonts w:hint="eastAsia" w:ascii="宋体" w:hAnsi="宋体" w:eastAsia="宋体" w:cs="宋体"/>
          <w:color w:val="auto"/>
          <w:kern w:val="0"/>
          <w:sz w:val="24"/>
          <w:szCs w:val="24"/>
        </w:rPr>
        <w:t>天后发包人仍不纠正其违约行为并致使合同目的不能实现的，承包人有权解除合同。</w:t>
      </w:r>
    </w:p>
    <w:p w14:paraId="0B8B9821">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16.2 承包人违约</w:t>
      </w:r>
    </w:p>
    <w:p w14:paraId="59961882">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16.2.1 承包人违约的情形</w:t>
      </w:r>
    </w:p>
    <w:p w14:paraId="4EE9A1C4">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承包人违约的其他情形：</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36B972B0">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16.2.2承包人违约的责任</w:t>
      </w:r>
    </w:p>
    <w:p w14:paraId="2BBCF844">
      <w:pPr>
        <w:adjustRightInd w:val="0"/>
        <w:snapToGrid w:val="0"/>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承包人违约责任的承担方式和计算方法：</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2CABCAC8">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16.2.3 因承包人违约解除合同</w:t>
      </w:r>
    </w:p>
    <w:p w14:paraId="3BDF93A5">
      <w:pPr>
        <w:adjustRightInd w:val="0"/>
        <w:snapToGrid w:val="0"/>
        <w:spacing w:before="120" w:after="120"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关于承包人违约解除合同的特别约定：</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5DE48A13">
      <w:pPr>
        <w:adjustRightInd w:val="0"/>
        <w:snapToGrid w:val="0"/>
        <w:spacing w:before="120" w:after="120"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59645D70">
      <w:pPr>
        <w:adjustRightInd w:val="0"/>
        <w:snapToGrid w:val="0"/>
        <w:spacing w:line="360" w:lineRule="auto"/>
        <w:rPr>
          <w:rFonts w:hint="eastAsia" w:ascii="宋体" w:hAnsi="宋体" w:eastAsia="宋体" w:cs="宋体"/>
          <w:color w:val="auto"/>
          <w:sz w:val="24"/>
          <w:szCs w:val="24"/>
        </w:rPr>
      </w:pPr>
      <w:bookmarkStart w:id="535" w:name="_Toc351203649"/>
      <w:r>
        <w:rPr>
          <w:rFonts w:hint="eastAsia" w:ascii="宋体" w:hAnsi="宋体" w:eastAsia="宋体" w:cs="宋体"/>
          <w:color w:val="auto"/>
          <w:sz w:val="24"/>
          <w:szCs w:val="24"/>
        </w:rPr>
        <w:t xml:space="preserve">17. </w:t>
      </w:r>
      <w:r>
        <w:rPr>
          <w:rFonts w:hint="eastAsia" w:ascii="宋体" w:hAnsi="宋体" w:eastAsia="宋体" w:cs="宋体"/>
          <w:color w:val="auto"/>
          <w:kern w:val="0"/>
          <w:sz w:val="24"/>
          <w:szCs w:val="24"/>
        </w:rPr>
        <w:t>不可抗力</w:t>
      </w:r>
      <w:bookmarkEnd w:id="535"/>
      <w:r>
        <w:rPr>
          <w:rFonts w:hint="eastAsia" w:ascii="宋体" w:hAnsi="宋体" w:eastAsia="宋体" w:cs="宋体"/>
          <w:color w:val="auto"/>
          <w:sz w:val="24"/>
          <w:szCs w:val="24"/>
        </w:rPr>
        <w:t xml:space="preserve"> </w:t>
      </w:r>
      <w:bookmarkEnd w:id="533"/>
    </w:p>
    <w:p w14:paraId="066E053F">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17.1 不可抗力的确认</w:t>
      </w:r>
    </w:p>
    <w:p w14:paraId="635645BE">
      <w:pPr>
        <w:adjustRightInd w:val="0"/>
        <w:snapToGrid w:val="0"/>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 xml:space="preserve">除通用合同条款约定的不可抗力事件之外，视为不可抗力的其他情形： </w:t>
      </w:r>
      <w:r>
        <w:rPr>
          <w:rFonts w:hint="eastAsia" w:ascii="宋体" w:hAnsi="宋体" w:eastAsia="宋体" w:cs="宋体"/>
          <w:color w:val="auto"/>
          <w:kern w:val="0"/>
          <w:sz w:val="24"/>
          <w:szCs w:val="24"/>
          <w:u w:val="single"/>
        </w:rPr>
        <w:t xml:space="preserve">暴风雨、雪、洪、震等自然灾害 </w:t>
      </w:r>
      <w:r>
        <w:rPr>
          <w:rFonts w:hint="eastAsia" w:ascii="宋体" w:hAnsi="宋体" w:eastAsia="宋体" w:cs="宋体"/>
          <w:color w:val="auto"/>
          <w:kern w:val="0"/>
          <w:sz w:val="24"/>
          <w:szCs w:val="24"/>
        </w:rPr>
        <w:t>。</w:t>
      </w:r>
    </w:p>
    <w:p w14:paraId="66F21BF6">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17.4 因</w:t>
      </w:r>
      <w:r>
        <w:rPr>
          <w:rFonts w:hint="eastAsia" w:ascii="宋体" w:hAnsi="宋体" w:eastAsia="宋体" w:cs="宋体"/>
          <w:color w:val="auto"/>
          <w:kern w:val="0"/>
          <w:sz w:val="24"/>
          <w:szCs w:val="24"/>
        </w:rPr>
        <w:t>不可抗力</w:t>
      </w:r>
      <w:r>
        <w:rPr>
          <w:rFonts w:hint="eastAsia" w:ascii="宋体" w:hAnsi="宋体" w:eastAsia="宋体" w:cs="宋体"/>
          <w:color w:val="auto"/>
          <w:sz w:val="24"/>
          <w:szCs w:val="24"/>
        </w:rPr>
        <w:t>解除合同</w:t>
      </w:r>
    </w:p>
    <w:p w14:paraId="51EB3804">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合同解除后，发包人应在商定或确定发包人应支付款项后</w:t>
      </w:r>
      <w:r>
        <w:rPr>
          <w:rFonts w:hint="eastAsia" w:ascii="宋体" w:hAnsi="宋体" w:eastAsia="宋体" w:cs="宋体"/>
          <w:color w:val="auto"/>
          <w:sz w:val="24"/>
          <w:szCs w:val="24"/>
          <w:u w:val="single"/>
        </w:rPr>
        <w:t xml:space="preserve"> 7 </w:t>
      </w:r>
      <w:r>
        <w:rPr>
          <w:rFonts w:hint="eastAsia" w:ascii="宋体" w:hAnsi="宋体" w:eastAsia="宋体" w:cs="宋体"/>
          <w:color w:val="auto"/>
          <w:sz w:val="24"/>
          <w:szCs w:val="24"/>
        </w:rPr>
        <w:t>天内完成款项的支付。</w:t>
      </w:r>
    </w:p>
    <w:p w14:paraId="5117357D">
      <w:pPr>
        <w:adjustRightInd w:val="0"/>
        <w:snapToGrid w:val="0"/>
        <w:spacing w:line="360" w:lineRule="auto"/>
        <w:rPr>
          <w:rFonts w:hint="eastAsia" w:ascii="宋体" w:hAnsi="宋体" w:eastAsia="宋体" w:cs="宋体"/>
          <w:color w:val="auto"/>
          <w:sz w:val="24"/>
          <w:szCs w:val="24"/>
        </w:rPr>
      </w:pPr>
      <w:bookmarkStart w:id="536" w:name="_Toc351203650"/>
      <w:r>
        <w:rPr>
          <w:rFonts w:hint="eastAsia" w:ascii="宋体" w:hAnsi="宋体" w:eastAsia="宋体" w:cs="宋体"/>
          <w:color w:val="auto"/>
          <w:sz w:val="24"/>
          <w:szCs w:val="24"/>
        </w:rPr>
        <w:t xml:space="preserve">18. </w:t>
      </w:r>
      <w:r>
        <w:rPr>
          <w:rFonts w:hint="eastAsia" w:ascii="宋体" w:hAnsi="宋体" w:eastAsia="宋体" w:cs="宋体"/>
          <w:color w:val="auto"/>
          <w:kern w:val="0"/>
          <w:sz w:val="24"/>
          <w:szCs w:val="24"/>
        </w:rPr>
        <w:t>保险</w:t>
      </w:r>
      <w:bookmarkEnd w:id="536"/>
    </w:p>
    <w:bookmarkEnd w:id="534"/>
    <w:p w14:paraId="0F207BE4">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18.1 工程保险</w:t>
      </w:r>
    </w:p>
    <w:p w14:paraId="4D7D1775">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关于工程保险的特别约定：</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22CB6E23">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18.3 </w:t>
      </w:r>
      <w:r>
        <w:rPr>
          <w:rFonts w:hint="eastAsia" w:ascii="宋体" w:hAnsi="宋体" w:eastAsia="宋体" w:cs="宋体"/>
          <w:color w:val="auto"/>
          <w:kern w:val="0"/>
          <w:sz w:val="24"/>
          <w:szCs w:val="24"/>
        </w:rPr>
        <w:t>其他</w:t>
      </w:r>
      <w:r>
        <w:rPr>
          <w:rFonts w:hint="eastAsia" w:ascii="宋体" w:hAnsi="宋体" w:eastAsia="宋体" w:cs="宋体"/>
          <w:color w:val="auto"/>
          <w:sz w:val="24"/>
          <w:szCs w:val="24"/>
        </w:rPr>
        <w:t>保险</w:t>
      </w:r>
    </w:p>
    <w:p w14:paraId="361A7FE6">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关于其他保险的约定：</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3E0FEA1E">
      <w:pPr>
        <w:adjustRightInd w:val="0"/>
        <w:snapToGri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承包人是否应为其施工设备等办理财产保险：</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9A097E">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18.7 通知义务</w:t>
      </w:r>
    </w:p>
    <w:p w14:paraId="49E3E5EF">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关于变更保险合同时的通知义务的约定：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bookmarkEnd w:id="510"/>
    <w:bookmarkEnd w:id="511"/>
    <w:bookmarkEnd w:id="512"/>
    <w:bookmarkEnd w:id="513"/>
    <w:bookmarkEnd w:id="514"/>
    <w:bookmarkEnd w:id="515"/>
    <w:bookmarkEnd w:id="516"/>
    <w:bookmarkEnd w:id="517"/>
    <w:bookmarkEnd w:id="518"/>
    <w:bookmarkEnd w:id="519"/>
    <w:bookmarkEnd w:id="520"/>
    <w:bookmarkEnd w:id="521"/>
    <w:p w14:paraId="56B94469">
      <w:pPr>
        <w:adjustRightInd w:val="0"/>
        <w:snapToGrid w:val="0"/>
        <w:spacing w:line="360" w:lineRule="auto"/>
        <w:rPr>
          <w:rFonts w:hint="eastAsia" w:ascii="宋体" w:hAnsi="宋体" w:eastAsia="宋体" w:cs="宋体"/>
          <w:color w:val="auto"/>
          <w:sz w:val="24"/>
          <w:szCs w:val="24"/>
        </w:rPr>
      </w:pPr>
      <w:bookmarkStart w:id="537" w:name="_Toc351203651"/>
      <w:r>
        <w:rPr>
          <w:rFonts w:hint="eastAsia" w:ascii="宋体" w:hAnsi="宋体" w:eastAsia="宋体" w:cs="宋体"/>
          <w:color w:val="auto"/>
          <w:sz w:val="24"/>
          <w:szCs w:val="24"/>
        </w:rPr>
        <w:t>20. 争议解决</w:t>
      </w:r>
      <w:bookmarkEnd w:id="537"/>
    </w:p>
    <w:bookmarkEnd w:id="522"/>
    <w:bookmarkEnd w:id="523"/>
    <w:p w14:paraId="1DB5014A">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20.3 争</w:t>
      </w:r>
      <w:bookmarkEnd w:id="524"/>
      <w:r>
        <w:rPr>
          <w:rFonts w:hint="eastAsia" w:ascii="宋体" w:hAnsi="宋体" w:eastAsia="宋体" w:cs="宋体"/>
          <w:color w:val="auto"/>
          <w:sz w:val="24"/>
          <w:szCs w:val="24"/>
        </w:rPr>
        <w:t>议</w:t>
      </w:r>
      <w:r>
        <w:rPr>
          <w:rFonts w:hint="eastAsia" w:ascii="宋体" w:hAnsi="宋体" w:eastAsia="宋体" w:cs="宋体"/>
          <w:color w:val="auto"/>
          <w:kern w:val="0"/>
          <w:sz w:val="24"/>
          <w:szCs w:val="24"/>
        </w:rPr>
        <w:t>评审</w:t>
      </w:r>
    </w:p>
    <w:p w14:paraId="11D67277">
      <w:pPr>
        <w:adjustRightInd w:val="0"/>
        <w:snapToGrid w:val="0"/>
        <w:spacing w:line="360" w:lineRule="auto"/>
        <w:ind w:firstLine="360" w:firstLineChars="150"/>
        <w:jc w:val="left"/>
        <w:rPr>
          <w:rFonts w:hint="eastAsia" w:ascii="宋体" w:hAnsi="宋体" w:eastAsia="宋体" w:cs="宋体"/>
          <w:color w:val="auto"/>
          <w:sz w:val="24"/>
          <w:szCs w:val="24"/>
        </w:rPr>
      </w:pPr>
      <w:r>
        <w:rPr>
          <w:rFonts w:hint="eastAsia" w:ascii="宋体" w:hAnsi="宋体" w:eastAsia="宋体" w:cs="宋体"/>
          <w:color w:val="auto"/>
          <w:sz w:val="24"/>
          <w:szCs w:val="24"/>
        </w:rPr>
        <w:t>合同当事人是否同意将工程争议提交争议评审小组决定：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p>
    <w:p w14:paraId="530BE6FE">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20.3.1 争议</w:t>
      </w:r>
      <w:r>
        <w:rPr>
          <w:rFonts w:hint="eastAsia" w:ascii="宋体" w:hAnsi="宋体" w:eastAsia="宋体" w:cs="宋体"/>
          <w:color w:val="auto"/>
          <w:kern w:val="0"/>
          <w:sz w:val="24"/>
          <w:szCs w:val="24"/>
        </w:rPr>
        <w:t>评审</w:t>
      </w:r>
      <w:r>
        <w:rPr>
          <w:rFonts w:hint="eastAsia" w:ascii="宋体" w:hAnsi="宋体" w:eastAsia="宋体" w:cs="宋体"/>
          <w:color w:val="auto"/>
          <w:sz w:val="24"/>
          <w:szCs w:val="24"/>
        </w:rPr>
        <w:t>小组的确定</w:t>
      </w:r>
    </w:p>
    <w:p w14:paraId="53E39B08">
      <w:pPr>
        <w:adjustRightInd w:val="0"/>
        <w:snapToGri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争议评审小组成员的确定：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129C698">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选定争议评审员的期限：</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8A1FDCD">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争议评审小组成员的报酬承担方式：</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307F57C">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其他事项的约定：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595A968">
      <w:pPr>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20.3.2 争议评审小组的决定</w:t>
      </w:r>
    </w:p>
    <w:p w14:paraId="7B26B2B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合同当事人关于本项的约定：</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05EDBCAA">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20.4仲裁或诉讼</w:t>
      </w:r>
      <w:bookmarkEnd w:id="525"/>
    </w:p>
    <w:p w14:paraId="6C057128">
      <w:pPr>
        <w:adjustRightInd w:val="0"/>
        <w:snapToGrid w:val="0"/>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因合同及合同有关事项发生的争议，按下列第</w:t>
      </w:r>
      <w:r>
        <w:rPr>
          <w:rFonts w:hint="eastAsia" w:ascii="宋体" w:hAnsi="宋体" w:eastAsia="宋体" w:cs="宋体"/>
          <w:color w:val="auto"/>
          <w:sz w:val="24"/>
          <w:szCs w:val="24"/>
          <w:u w:val="single"/>
        </w:rPr>
        <w:t xml:space="preserve"> 1 </w:t>
      </w:r>
      <w:r>
        <w:rPr>
          <w:rFonts w:hint="eastAsia" w:ascii="宋体" w:hAnsi="宋体" w:eastAsia="宋体" w:cs="宋体"/>
          <w:color w:val="auto"/>
          <w:sz w:val="24"/>
          <w:szCs w:val="24"/>
        </w:rPr>
        <w:t>种方式解决：</w:t>
      </w:r>
    </w:p>
    <w:p w14:paraId="0F2B5B26">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（1）向</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仲裁委员会申请仲裁；</w:t>
      </w:r>
    </w:p>
    <w:p w14:paraId="25E4907C">
      <w:pPr>
        <w:ind w:firstLine="480" w:firstLineChars="200"/>
        <w:jc w:val="both"/>
        <w:outlineLvl w:val="0"/>
        <w:rPr>
          <w:rFonts w:hint="eastAsia" w:ascii="宋体" w:hAnsi="宋体" w:eastAsia="宋体" w:cs="宋体"/>
          <w:color w:val="auto"/>
          <w:sz w:val="24"/>
          <w:szCs w:val="24"/>
        </w:rPr>
      </w:pPr>
      <w:bookmarkStart w:id="538" w:name="_Toc7413"/>
      <w:r>
        <w:rPr>
          <w:rFonts w:hint="eastAsia" w:ascii="宋体" w:hAnsi="宋体" w:eastAsia="宋体" w:cs="宋体"/>
          <w:color w:val="auto"/>
          <w:sz w:val="24"/>
          <w:szCs w:val="24"/>
        </w:rPr>
        <w:t>（2）向</w:t>
      </w:r>
      <w:r>
        <w:rPr>
          <w:rFonts w:hint="eastAsia" w:ascii="宋体" w:hAnsi="宋体" w:eastAsia="宋体" w:cs="宋体"/>
          <w:color w:val="auto"/>
          <w:sz w:val="24"/>
          <w:szCs w:val="24"/>
          <w:u w:val="single"/>
        </w:rPr>
        <w:t xml:space="preserve">  项目所在地 </w:t>
      </w:r>
      <w:r>
        <w:rPr>
          <w:rFonts w:hint="eastAsia" w:ascii="宋体" w:hAnsi="宋体" w:eastAsia="宋体" w:cs="宋体"/>
          <w:color w:val="auto"/>
          <w:sz w:val="24"/>
          <w:szCs w:val="24"/>
        </w:rPr>
        <w:t>人民法院起诉。</w:t>
      </w:r>
      <w:bookmarkEnd w:id="526"/>
      <w:bookmarkEnd w:id="527"/>
      <w:bookmarkEnd w:id="528"/>
      <w:bookmarkEnd w:id="529"/>
      <w:bookmarkEnd w:id="530"/>
      <w:bookmarkEnd w:id="531"/>
      <w:bookmarkEnd w:id="538"/>
    </w:p>
    <w:p w14:paraId="4FBDDC30">
      <w:pPr>
        <w:rPr>
          <w:rFonts w:hint="eastAsia"/>
          <w:color w:val="auto"/>
          <w:sz w:val="28"/>
          <w:szCs w:val="28"/>
          <w:lang w:eastAsia="zh-CN"/>
        </w:rPr>
      </w:pPr>
      <w:r>
        <w:rPr>
          <w:rFonts w:hint="eastAsia" w:ascii="宋体" w:hAnsi="宋体" w:cs="宋体"/>
          <w:color w:val="auto"/>
          <w:szCs w:val="21"/>
        </w:rPr>
        <w:br w:type="page"/>
      </w:r>
    </w:p>
    <w:p w14:paraId="3668C508">
      <w:pPr>
        <w:pStyle w:val="5"/>
        <w:numPr>
          <w:ilvl w:val="0"/>
          <w:numId w:val="3"/>
        </w:numPr>
        <w:spacing w:line="360" w:lineRule="auto"/>
        <w:ind w:left="0" w:leftChars="0" w:firstLine="0" w:firstLineChars="0"/>
        <w:jc w:val="center"/>
        <w:rPr>
          <w:rFonts w:hint="eastAsia"/>
          <w:color w:val="FF0000"/>
          <w:sz w:val="28"/>
          <w:szCs w:val="28"/>
          <w:lang w:eastAsia="zh-CN"/>
        </w:rPr>
      </w:pPr>
      <w:bookmarkStart w:id="539" w:name="_Toc14646"/>
      <w:r>
        <w:rPr>
          <w:rFonts w:hint="eastAsia"/>
          <w:color w:val="FF0000"/>
          <w:sz w:val="28"/>
          <w:szCs w:val="28"/>
          <w:lang w:eastAsia="zh-CN"/>
        </w:rPr>
        <w:t>项目技术标准及要求</w:t>
      </w:r>
      <w:bookmarkEnd w:id="539"/>
    </w:p>
    <w:p w14:paraId="1C3461F2">
      <w:pPr>
        <w:spacing w:line="360" w:lineRule="auto"/>
        <w:rPr>
          <w:rFonts w:hint="eastAsia" w:ascii="宋体" w:hAnsi="宋体" w:eastAsia="宋体"/>
          <w:b/>
          <w:snapToGrid/>
          <w:color w:val="FF0000"/>
          <w:kern w:val="2"/>
          <w:sz w:val="24"/>
          <w:szCs w:val="24"/>
          <w:lang w:eastAsia="zh-CN"/>
        </w:rPr>
      </w:pPr>
      <w:r>
        <w:rPr>
          <w:rFonts w:hint="eastAsia" w:ascii="宋体" w:hAnsi="宋体" w:eastAsia="宋体"/>
          <w:b/>
          <w:snapToGrid/>
          <w:color w:val="FF0000"/>
          <w:kern w:val="2"/>
          <w:sz w:val="24"/>
          <w:szCs w:val="24"/>
          <w:lang w:val="en-US" w:eastAsia="zh-CN"/>
        </w:rPr>
        <w:t>一、</w:t>
      </w:r>
      <w:r>
        <w:rPr>
          <w:rFonts w:hint="eastAsia" w:ascii="宋体" w:hAnsi="宋体" w:eastAsia="宋体"/>
          <w:b/>
          <w:snapToGrid/>
          <w:color w:val="FF0000"/>
          <w:kern w:val="2"/>
          <w:sz w:val="24"/>
          <w:szCs w:val="24"/>
          <w:lang w:eastAsia="zh-CN"/>
        </w:rPr>
        <w:t>招标清单</w:t>
      </w:r>
    </w:p>
    <w:p w14:paraId="2030B6ED">
      <w:pPr>
        <w:pStyle w:val="8"/>
        <w:rPr>
          <w:rFonts w:hint="eastAsia" w:ascii="宋体" w:hAnsi="宋体" w:eastAsia="宋体"/>
          <w:b/>
          <w:snapToGrid/>
          <w:color w:val="FF0000"/>
          <w:kern w:val="2"/>
          <w:sz w:val="24"/>
          <w:szCs w:val="24"/>
          <w:lang w:eastAsia="zh-CN"/>
        </w:rPr>
      </w:pPr>
    </w:p>
    <w:p w14:paraId="5F3B72A8">
      <w:pPr>
        <w:rPr>
          <w:rFonts w:hint="default" w:ascii="宋体" w:hAnsi="宋体" w:eastAsia="宋体"/>
          <w:b/>
          <w:snapToGrid/>
          <w:color w:val="FF0000"/>
          <w:kern w:val="2"/>
          <w:sz w:val="24"/>
          <w:szCs w:val="24"/>
          <w:lang w:val="en-US" w:eastAsia="zh-CN"/>
        </w:rPr>
      </w:pPr>
      <w:r>
        <w:rPr>
          <w:rFonts w:hint="eastAsia" w:ascii="宋体" w:hAnsi="宋体" w:eastAsia="宋体"/>
          <w:b/>
          <w:snapToGrid/>
          <w:color w:val="FF0000"/>
          <w:kern w:val="2"/>
          <w:sz w:val="24"/>
          <w:szCs w:val="24"/>
          <w:lang w:val="en-US" w:eastAsia="zh-CN"/>
        </w:rPr>
        <w:t>另附</w:t>
      </w:r>
    </w:p>
    <w:p w14:paraId="70CCAD6B">
      <w:pPr>
        <w:pStyle w:val="8"/>
        <w:rPr>
          <w:color w:val="FF0000"/>
          <w:lang w:eastAsia="zh-CN"/>
        </w:rPr>
      </w:pPr>
    </w:p>
    <w:p w14:paraId="24A81C50">
      <w:pPr>
        <w:spacing w:line="360" w:lineRule="auto"/>
        <w:rPr>
          <w:rFonts w:hint="eastAsia" w:ascii="宋体" w:hAnsi="宋体" w:eastAsia="宋体"/>
          <w:b/>
          <w:snapToGrid/>
          <w:color w:val="FF0000"/>
          <w:kern w:val="2"/>
          <w:sz w:val="24"/>
          <w:szCs w:val="24"/>
          <w:lang w:eastAsia="zh-CN"/>
        </w:rPr>
      </w:pPr>
      <w:r>
        <w:rPr>
          <w:rFonts w:hint="eastAsia" w:ascii="宋体" w:hAnsi="宋体" w:eastAsia="宋体"/>
          <w:b/>
          <w:snapToGrid/>
          <w:color w:val="FF0000"/>
          <w:kern w:val="2"/>
          <w:sz w:val="24"/>
          <w:szCs w:val="24"/>
          <w:lang w:eastAsia="zh-CN"/>
        </w:rPr>
        <w:t>注：</w:t>
      </w:r>
    </w:p>
    <w:p w14:paraId="4831F54D">
      <w:pPr>
        <w:spacing w:line="360" w:lineRule="auto"/>
        <w:rPr>
          <w:rFonts w:hint="eastAsia" w:ascii="宋体" w:hAnsi="宋体" w:eastAsia="宋体" w:cs="宋体"/>
          <w:color w:val="FF0000"/>
          <w:spacing w:val="-5"/>
          <w:sz w:val="24"/>
          <w:szCs w:val="24"/>
          <w:lang w:eastAsia="zh-CN"/>
        </w:rPr>
      </w:pPr>
      <w:r>
        <w:rPr>
          <w:rFonts w:hint="eastAsia" w:ascii="宋体" w:hAnsi="宋体" w:eastAsia="宋体" w:cs="宋体"/>
          <w:color w:val="FF0000"/>
          <w:spacing w:val="-5"/>
          <w:sz w:val="24"/>
          <w:szCs w:val="24"/>
          <w:lang w:eastAsia="zh-CN"/>
        </w:rPr>
        <w:t>1.以上清单内数量为一个实体店的工程量，仅供投标报价时参考，每个实体店具体工程量需结合施工图纸及实际情况确定；最终费用根据实际施工面积据实结算，总费用不超出总预算。</w:t>
      </w:r>
    </w:p>
    <w:p w14:paraId="6A16790B">
      <w:pPr>
        <w:spacing w:line="360" w:lineRule="auto"/>
        <w:rPr>
          <w:rFonts w:ascii="宋体" w:hAnsi="宋体" w:eastAsia="宋体"/>
          <w:b/>
          <w:snapToGrid/>
          <w:color w:val="FF0000"/>
          <w:kern w:val="2"/>
          <w:sz w:val="24"/>
          <w:szCs w:val="24"/>
          <w:lang w:eastAsia="zh-CN"/>
        </w:rPr>
      </w:pPr>
      <w:r>
        <w:rPr>
          <w:rFonts w:hint="eastAsia" w:ascii="宋体" w:hAnsi="宋体" w:eastAsia="宋体" w:cs="宋体"/>
          <w:color w:val="FF0000"/>
          <w:spacing w:val="-5"/>
          <w:sz w:val="24"/>
          <w:szCs w:val="24"/>
          <w:lang w:eastAsia="zh-CN"/>
        </w:rPr>
        <w:t>2.供应商报价时，应遵循磋商文件、清单并结合设计文件（招标图纸及图纸答疑）、施工规范、施工方案及技术要求等做出响应报价。费用包含制作费、安装费、配送费、工时费、拆除及</w:t>
      </w:r>
      <w:r>
        <w:rPr>
          <w:rFonts w:hint="eastAsia" w:ascii="宋体" w:hAnsi="宋体" w:eastAsia="宋体"/>
          <w:snapToGrid/>
          <w:color w:val="FF0000"/>
          <w:kern w:val="2"/>
          <w:sz w:val="24"/>
          <w:szCs w:val="24"/>
          <w:lang w:eastAsia="zh-CN"/>
        </w:rPr>
        <w:t>拆垃圾外运等相关费用</w:t>
      </w:r>
      <w:r>
        <w:rPr>
          <w:rFonts w:hint="eastAsia" w:ascii="宋体" w:hAnsi="宋体" w:eastAsia="宋体" w:cs="宋体"/>
          <w:color w:val="FF0000"/>
          <w:spacing w:val="-5"/>
          <w:sz w:val="24"/>
          <w:szCs w:val="24"/>
          <w:lang w:eastAsia="zh-CN"/>
        </w:rPr>
        <w:t>、税费等。</w:t>
      </w:r>
    </w:p>
    <w:p w14:paraId="6118D8C9">
      <w:pPr>
        <w:spacing w:line="360" w:lineRule="auto"/>
        <w:rPr>
          <w:rFonts w:hint="default" w:ascii="宋体" w:hAnsi="宋体" w:eastAsia="宋体" w:cs="宋体"/>
          <w:color w:val="FF0000"/>
          <w:sz w:val="24"/>
          <w:szCs w:val="24"/>
          <w:lang w:val="en-US" w:eastAsia="zh-CN"/>
        </w:rPr>
      </w:pPr>
      <w:r>
        <w:rPr>
          <w:rFonts w:hint="eastAsia" w:ascii="宋体" w:hAnsi="宋体" w:eastAsia="宋体"/>
          <w:b/>
          <w:snapToGrid/>
          <w:color w:val="FF0000"/>
          <w:kern w:val="2"/>
          <w:sz w:val="24"/>
          <w:szCs w:val="24"/>
          <w:lang w:eastAsia="zh-CN"/>
        </w:rPr>
        <w:t>二、</w:t>
      </w:r>
      <w:r>
        <w:rPr>
          <w:rFonts w:hint="eastAsia" w:ascii="宋体" w:hAnsi="宋体" w:eastAsia="宋体"/>
          <w:b/>
          <w:snapToGrid/>
          <w:color w:val="FF0000"/>
          <w:kern w:val="2"/>
          <w:sz w:val="24"/>
          <w:szCs w:val="24"/>
          <w:lang w:val="en-US" w:eastAsia="zh-CN"/>
        </w:rPr>
        <w:t>材质清单</w:t>
      </w:r>
    </w:p>
    <w:p w14:paraId="7FDB62D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1.名称：3M灯箱；</w:t>
      </w:r>
    </w:p>
    <w:p w14:paraId="6E7872D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2.尺寸：3.6m*1.5m；</w:t>
      </w:r>
    </w:p>
    <w:p w14:paraId="5C537B0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3.骨架材质：50*50镀锌角钢焊接骨架；</w:t>
      </w:r>
    </w:p>
    <w:p w14:paraId="1FDBD27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4.背衬反光层：PVC基层板0.5mm厚；</w:t>
      </w:r>
    </w:p>
    <w:p w14:paraId="6C36789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5.面层材质：3M 户外UV打印 灯箱面层</w:t>
      </w:r>
    </w:p>
    <w:p w14:paraId="05BD552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6.包边材质：铝合金槽线包边，尺寸详见图纸；</w:t>
      </w:r>
    </w:p>
    <w:p w14:paraId="6D448B8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7.内部灯源：</w:t>
      </w:r>
      <w:r>
        <w:rPr>
          <w:rFonts w:hint="eastAsia" w:ascii="宋体" w:hAnsi="宋体" w:eastAsia="宋体" w:cs="宋体"/>
          <w:color w:val="FF0000"/>
          <w:sz w:val="24"/>
          <w:szCs w:val="24"/>
          <w:lang w:val="en-US" w:eastAsia="zh-CN"/>
        </w:rPr>
        <w:t>品牌雷士</w:t>
      </w:r>
      <w:r>
        <w:rPr>
          <w:rFonts w:hint="eastAsia" w:ascii="宋体" w:hAnsi="宋体" w:eastAsia="宋体" w:cs="宋体"/>
          <w:color w:val="FF0000"/>
          <w:sz w:val="24"/>
          <w:szCs w:val="24"/>
        </w:rPr>
        <w:t>照明</w:t>
      </w:r>
      <w:r>
        <w:rPr>
          <w:rFonts w:hint="eastAsia" w:ascii="宋体" w:hAnsi="宋体" w:eastAsia="宋体" w:cs="宋体"/>
          <w:color w:val="FF0000"/>
          <w:sz w:val="24"/>
          <w:szCs w:val="24"/>
          <w:lang w:val="en-US" w:eastAsia="zh-CN"/>
        </w:rPr>
        <w:t>灯带及配套电源转换器</w:t>
      </w:r>
      <w:r>
        <w:rPr>
          <w:rFonts w:hint="eastAsia" w:ascii="宋体" w:hAnsi="宋体" w:eastAsia="宋体" w:cs="宋体"/>
          <w:color w:val="FF0000"/>
          <w:sz w:val="24"/>
          <w:szCs w:val="24"/>
          <w:lang w:eastAsia="zh-CN"/>
        </w:rPr>
        <w:t>。</w:t>
      </w:r>
    </w:p>
    <w:p w14:paraId="500792AC">
      <w:pPr>
        <w:rPr>
          <w:color w:val="FF0000"/>
          <w:lang w:eastAsia="zh-CN"/>
        </w:rPr>
      </w:pPr>
    </w:p>
    <w:p w14:paraId="2B7E8F1A">
      <w:pPr>
        <w:numPr>
          <w:ilvl w:val="0"/>
          <w:numId w:val="5"/>
        </w:numPr>
        <w:spacing w:line="360" w:lineRule="auto"/>
        <w:rPr>
          <w:rFonts w:hint="eastAsia" w:ascii="宋体" w:hAnsi="宋体" w:eastAsia="宋体"/>
          <w:b/>
          <w:snapToGrid/>
          <w:color w:val="FF0000"/>
          <w:kern w:val="2"/>
          <w:sz w:val="24"/>
          <w:szCs w:val="24"/>
          <w:lang w:eastAsia="zh-CN"/>
        </w:rPr>
      </w:pPr>
      <w:r>
        <w:rPr>
          <w:rFonts w:hint="eastAsia" w:ascii="宋体" w:hAnsi="宋体" w:eastAsia="宋体"/>
          <w:b/>
          <w:snapToGrid/>
          <w:color w:val="FF0000"/>
          <w:kern w:val="2"/>
          <w:sz w:val="24"/>
          <w:szCs w:val="24"/>
          <w:lang w:eastAsia="zh-CN"/>
        </w:rPr>
        <w:t>技术要求</w:t>
      </w:r>
    </w:p>
    <w:p w14:paraId="4FC32899">
      <w:pPr>
        <w:numPr>
          <w:ilvl w:val="0"/>
          <w:numId w:val="0"/>
        </w:numPr>
        <w:spacing w:line="360" w:lineRule="auto"/>
        <w:rPr>
          <w:rFonts w:hint="eastAsia" w:ascii="宋体" w:hAnsi="宋体" w:eastAsia="宋体"/>
          <w:b/>
          <w:snapToGrid/>
          <w:color w:val="FF0000"/>
          <w:kern w:val="2"/>
          <w:sz w:val="24"/>
          <w:szCs w:val="24"/>
          <w:lang w:eastAsia="zh-CN"/>
        </w:rPr>
      </w:pPr>
      <w:r>
        <w:rPr>
          <w:rFonts w:hint="eastAsia" w:ascii="宋体" w:hAnsi="宋体" w:eastAsia="宋体"/>
          <w:b/>
          <w:snapToGrid/>
          <w:color w:val="FF0000"/>
          <w:kern w:val="2"/>
          <w:sz w:val="24"/>
          <w:szCs w:val="24"/>
          <w:lang w:val="en-US" w:eastAsia="zh-CN"/>
        </w:rPr>
        <w:t>3</w:t>
      </w:r>
      <w:r>
        <w:rPr>
          <w:rFonts w:hint="eastAsia" w:ascii="宋体" w:hAnsi="宋体" w:eastAsia="宋体"/>
          <w:b/>
          <w:snapToGrid/>
          <w:color w:val="FF0000"/>
          <w:kern w:val="2"/>
          <w:sz w:val="24"/>
          <w:szCs w:val="24"/>
          <w:lang w:eastAsia="zh-CN"/>
        </w:rPr>
        <w:t>.1门头的技术要求</w:t>
      </w:r>
    </w:p>
    <w:p w14:paraId="5137941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1、规格：标准门头高4500mm*1200mm,具体门头高度、长度及厚度根据现场确定。</w:t>
      </w:r>
    </w:p>
    <w:p w14:paraId="389B3D2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2、门头采用L50*4mm镀锌角钢焊接框架结构，表面刷防锈漆。根部采用M12*100膨胀螺栓与结构墙面连接。框架内侧及底板采用5mm厚白色PVC背板制作。</w:t>
      </w:r>
    </w:p>
    <w:p w14:paraId="4EDF31C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color w:val="FF0000"/>
        </w:rPr>
      </w:pPr>
      <w:r>
        <w:rPr>
          <w:color w:val="FF0000"/>
        </w:rPr>
        <w:drawing>
          <wp:inline distT="0" distB="0" distL="114300" distR="114300">
            <wp:extent cx="5264785" cy="2392680"/>
            <wp:effectExtent l="0" t="0" r="571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4785" cy="2392680"/>
                    </a:xfrm>
                    <a:prstGeom prst="rect">
                      <a:avLst/>
                    </a:prstGeom>
                    <a:noFill/>
                    <a:ln>
                      <a:noFill/>
                    </a:ln>
                  </pic:spPr>
                </pic:pic>
              </a:graphicData>
            </a:graphic>
          </wp:inline>
        </w:drawing>
      </w:r>
    </w:p>
    <w:p w14:paraId="0F24200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3、门头内部灯光布设：</w:t>
      </w:r>
    </w:p>
    <w:p w14:paraId="75192F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灯带要求：采用低压防水型光源，色温建议：6500k</w:t>
      </w:r>
    </w:p>
    <w:p w14:paraId="58F88D6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 xml:space="preserve">灯带排布要求：建议采用成品灯箱专用灯条 高亮漫散射灯条 </w:t>
      </w:r>
    </w:p>
    <w:p w14:paraId="184B9A8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安装固定：除了灯条自带背胶固定外，需要增加金属卡扣机械固定。</w:t>
      </w:r>
    </w:p>
    <w:p w14:paraId="1B13EC3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color w:val="FF0000"/>
        </w:rPr>
        <w:drawing>
          <wp:inline distT="0" distB="0" distL="114300" distR="114300">
            <wp:extent cx="1549400" cy="12573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549400" cy="1257300"/>
                    </a:xfrm>
                    <a:prstGeom prst="rect">
                      <a:avLst/>
                    </a:prstGeom>
                    <a:noFill/>
                    <a:ln>
                      <a:noFill/>
                    </a:ln>
                  </pic:spPr>
                </pic:pic>
              </a:graphicData>
            </a:graphic>
          </wp:inline>
        </w:drawing>
      </w:r>
      <w:r>
        <w:rPr>
          <w:color w:val="FF0000"/>
        </w:rPr>
        <w:drawing>
          <wp:inline distT="0" distB="0" distL="114300" distR="114300">
            <wp:extent cx="3683000" cy="25781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3683000" cy="2578100"/>
                    </a:xfrm>
                    <a:prstGeom prst="rect">
                      <a:avLst/>
                    </a:prstGeom>
                    <a:noFill/>
                    <a:ln>
                      <a:noFill/>
                    </a:ln>
                  </pic:spPr>
                </pic:pic>
              </a:graphicData>
            </a:graphic>
          </wp:inline>
        </w:drawing>
      </w:r>
    </w:p>
    <w:p w14:paraId="38D90D3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p>
    <w:p w14:paraId="62A63C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4、接电测试：接电时需要确保接头的安全和牢固。如果电源位于灯箱背面，可以直接接线并将电源接头用绝缘的专用套管扎紧。如果电源位于灯箱外部，可以将电源线的出口端改变到灯箱的边缘，使用三相插头插入匹配的电源插座上‌；‌测试‌：最后，打开电源测试灯箱是否正常工作。这一步骤确保了所有电气连接正确无误，灯箱能够正常亮起，满足使用需求。‌</w:t>
      </w:r>
    </w:p>
    <w:p w14:paraId="4DF18A6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5、门头招牌包边采用专用铝型材，顶封板采用4mm铝塑造板，面层采用高清3M软膜 户外UV打印，颜色依设计文件及业主要求。面层与骨架固定。</w:t>
      </w:r>
    </w:p>
    <w:p w14:paraId="4E4F8E0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6、顶部挡水板采用1.5mm厚镀锌板，表面喷涂。</w:t>
      </w:r>
    </w:p>
    <w:p w14:paraId="7FD9AB6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7、门头上方根部做防水处理。</w:t>
      </w:r>
    </w:p>
    <w:p w14:paraId="0272958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8、门头施工含原有门头拆除以及垃圾外运等相关费用。</w:t>
      </w:r>
    </w:p>
    <w:p w14:paraId="09AFCDD6">
      <w:pPr>
        <w:numPr>
          <w:ilvl w:val="0"/>
          <w:numId w:val="0"/>
        </w:numPr>
        <w:kinsoku w:val="0"/>
        <w:autoSpaceDE w:val="0"/>
        <w:autoSpaceDN w:val="0"/>
        <w:adjustRightInd w:val="0"/>
        <w:snapToGrid w:val="0"/>
        <w:spacing w:line="360" w:lineRule="auto"/>
        <w:textAlignment w:val="baseline"/>
        <w:rPr>
          <w:rFonts w:hint="eastAsia" w:ascii="宋体" w:hAnsi="宋体" w:eastAsia="宋体"/>
          <w:b/>
          <w:snapToGrid/>
          <w:color w:val="FF0000"/>
          <w:kern w:val="2"/>
          <w:sz w:val="24"/>
          <w:szCs w:val="24"/>
          <w:lang w:eastAsia="zh-CN"/>
        </w:rPr>
      </w:pPr>
      <w:r>
        <w:rPr>
          <w:rFonts w:hint="eastAsia" w:ascii="宋体" w:hAnsi="宋体" w:eastAsia="宋体"/>
          <w:b/>
          <w:snapToGrid/>
          <w:color w:val="FF0000"/>
          <w:kern w:val="2"/>
          <w:sz w:val="24"/>
          <w:szCs w:val="24"/>
          <w:lang w:val="en-US" w:eastAsia="zh-CN"/>
        </w:rPr>
        <w:t>3</w:t>
      </w:r>
      <w:r>
        <w:rPr>
          <w:rFonts w:hint="eastAsia" w:ascii="宋体" w:hAnsi="宋体" w:eastAsia="宋体"/>
          <w:b/>
          <w:snapToGrid/>
          <w:color w:val="FF0000"/>
          <w:kern w:val="2"/>
          <w:sz w:val="24"/>
          <w:szCs w:val="24"/>
          <w:lang w:eastAsia="zh-CN"/>
        </w:rPr>
        <w:t>.2电气技术参数</w:t>
      </w:r>
    </w:p>
    <w:p w14:paraId="5D977D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1、室外灯箱内灯带全部采用低压防水型led灯带/灯条，建议使用卡扣或其他机械式安装固定方法，使得灯带牢靠不易脱落；</w:t>
      </w:r>
    </w:p>
    <w:p w14:paraId="1DEAC52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2、灯带安装均匀合理，避免出现明暗区；</w:t>
      </w:r>
    </w:p>
    <w:p w14:paraId="1910C2E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3、从光源防色衰及防触电的安全考虑，不建议采用高压灯带。建议led灯带采用低压灯带（建议12v/24v），灯带接线焊接位置做防水绝缘处理，并作加固；</w:t>
      </w:r>
    </w:p>
    <w:p w14:paraId="02A431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4、设计布线时,执行强电走上,弱电在下,横平竖直,避免交叉,美观实用的原则；PVC管应用管卡固定。PVC管接头均用配套接头,用PVC胶水粘牢,弯头均用弹簧弯曲。暗盒,拉线盒与PVC管用锣接固定；</w:t>
      </w:r>
    </w:p>
    <w:p w14:paraId="5E02AAA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5、导线间和导线对地间电阻必须大于0.5MΩ；</w:t>
      </w:r>
    </w:p>
    <w:p w14:paraId="452155D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6、供电连接线缆线径需要考虑到灯带长度（功率）及供电距离，同时过长的灯带可采用双线供电线路，避免线路电流过大引起发热安全隐患；</w:t>
      </w:r>
    </w:p>
    <w:p w14:paraId="0A2DC1C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7、配套的电源（变压器）要求安装在店面内门后墙壁高处，既可以有效防水、防儿童误触且方便后期检维修；</w:t>
      </w:r>
    </w:p>
    <w:p w14:paraId="4070C8D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snapToGrid/>
          <w:color w:val="FF0000"/>
          <w:kern w:val="2"/>
          <w:sz w:val="24"/>
          <w:szCs w:val="24"/>
          <w:lang w:eastAsia="zh-CN"/>
        </w:rPr>
      </w:pPr>
      <w:r>
        <w:rPr>
          <w:rFonts w:hint="eastAsia" w:ascii="宋体" w:hAnsi="宋体" w:eastAsia="宋体"/>
          <w:b w:val="0"/>
          <w:bCs/>
          <w:snapToGrid/>
          <w:color w:val="FF0000"/>
          <w:kern w:val="2"/>
          <w:sz w:val="24"/>
          <w:szCs w:val="24"/>
          <w:lang w:eastAsia="zh-CN"/>
        </w:rPr>
        <w:t>8、室外所有灯箱、金属构件需要做接地保护装置。</w:t>
      </w:r>
    </w:p>
    <w:p w14:paraId="7A2C3646">
      <w:pPr>
        <w:pStyle w:val="8"/>
        <w:rPr>
          <w:snapToGrid/>
          <w:color w:val="FF0000"/>
          <w:kern w:val="2"/>
          <w:lang w:eastAsia="zh-CN"/>
        </w:rPr>
      </w:pPr>
      <w:r>
        <w:rPr>
          <w:snapToGrid/>
          <w:color w:val="FF0000"/>
          <w:kern w:val="2"/>
          <w:lang w:eastAsia="zh-CN"/>
        </w:rPr>
        <w:br w:type="page"/>
      </w:r>
    </w:p>
    <w:p w14:paraId="0339EF58">
      <w:pPr>
        <w:pStyle w:val="8"/>
        <w:rPr>
          <w:b/>
          <w:snapToGrid/>
          <w:color w:val="FF0000"/>
          <w:kern w:val="2"/>
          <w:sz w:val="24"/>
          <w:szCs w:val="24"/>
          <w:lang w:eastAsia="zh-CN"/>
        </w:rPr>
      </w:pPr>
      <w:r>
        <w:rPr>
          <w:rFonts w:hint="eastAsia"/>
          <w:b/>
          <w:snapToGrid/>
          <w:color w:val="FF0000"/>
          <w:kern w:val="2"/>
          <w:sz w:val="24"/>
          <w:szCs w:val="24"/>
          <w:lang w:eastAsia="zh-CN"/>
        </w:rPr>
        <w:t>四、效果图及施工图</w:t>
      </w:r>
    </w:p>
    <w:p w14:paraId="41F234BD">
      <w:pPr>
        <w:spacing w:line="360" w:lineRule="auto"/>
        <w:rPr>
          <w:rFonts w:ascii="宋体" w:hAnsi="宋体" w:eastAsia="宋体"/>
          <w:b/>
          <w:snapToGrid/>
          <w:color w:val="FF0000"/>
          <w:kern w:val="2"/>
          <w:sz w:val="24"/>
          <w:szCs w:val="24"/>
          <w:lang w:eastAsia="zh-CN"/>
        </w:rPr>
      </w:pPr>
      <w:r>
        <w:rPr>
          <w:rFonts w:hint="eastAsia" w:ascii="宋体" w:hAnsi="宋体" w:eastAsia="宋体"/>
          <w:b/>
          <w:snapToGrid/>
          <w:color w:val="FF0000"/>
          <w:kern w:val="2"/>
          <w:sz w:val="24"/>
          <w:szCs w:val="24"/>
          <w:lang w:eastAsia="zh-CN"/>
        </w:rPr>
        <w:t>4.1效果图</w:t>
      </w:r>
    </w:p>
    <w:p w14:paraId="6537CC41">
      <w:pPr>
        <w:spacing w:line="360" w:lineRule="auto"/>
        <w:rPr>
          <w:rFonts w:hint="default" w:ascii="宋体" w:hAnsi="宋体" w:eastAsia="宋体"/>
          <w:snapToGrid/>
          <w:color w:val="FF0000"/>
          <w:kern w:val="2"/>
          <w:sz w:val="24"/>
          <w:szCs w:val="24"/>
          <w:lang w:val="en-US" w:eastAsia="zh-CN"/>
        </w:rPr>
      </w:pPr>
      <w:r>
        <w:rPr>
          <w:rFonts w:hint="eastAsia" w:ascii="宋体" w:hAnsi="宋体" w:eastAsia="宋体"/>
          <w:snapToGrid/>
          <w:color w:val="FF0000"/>
          <w:kern w:val="2"/>
          <w:sz w:val="24"/>
          <w:szCs w:val="24"/>
          <w:lang w:eastAsia="zh-CN"/>
        </w:rPr>
        <w:t>1.</w:t>
      </w:r>
      <w:r>
        <w:rPr>
          <w:rFonts w:hint="eastAsia" w:ascii="宋体" w:hAnsi="宋体" w:eastAsia="宋体"/>
          <w:snapToGrid/>
          <w:color w:val="FF0000"/>
          <w:kern w:val="2"/>
          <w:sz w:val="24"/>
          <w:szCs w:val="24"/>
          <w:lang w:val="en-US" w:eastAsia="zh-CN"/>
        </w:rPr>
        <w:t>体彩门头范例</w:t>
      </w:r>
    </w:p>
    <w:p w14:paraId="16F226FB">
      <w:pPr>
        <w:spacing w:line="360" w:lineRule="auto"/>
        <w:rPr>
          <w:rFonts w:ascii="宋体" w:hAnsi="宋体" w:eastAsia="宋体"/>
          <w:snapToGrid/>
          <w:color w:val="FF0000"/>
          <w:kern w:val="2"/>
          <w:sz w:val="24"/>
          <w:szCs w:val="24"/>
          <w:lang w:eastAsia="zh-CN"/>
        </w:rPr>
      </w:pPr>
      <w:r>
        <w:rPr>
          <w:color w:val="FF0000"/>
        </w:rPr>
        <w:drawing>
          <wp:inline distT="0" distB="0" distL="114300" distR="114300">
            <wp:extent cx="5595620" cy="2365375"/>
            <wp:effectExtent l="0" t="0" r="508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595620" cy="2365375"/>
                    </a:xfrm>
                    <a:prstGeom prst="rect">
                      <a:avLst/>
                    </a:prstGeom>
                    <a:noFill/>
                    <a:ln>
                      <a:noFill/>
                    </a:ln>
                  </pic:spPr>
                </pic:pic>
              </a:graphicData>
            </a:graphic>
          </wp:inline>
        </w:drawing>
      </w:r>
    </w:p>
    <w:p w14:paraId="4D35E327">
      <w:pPr>
        <w:rPr>
          <w:rFonts w:hint="default" w:ascii="宋体" w:hAnsi="宋体" w:eastAsia="宋体"/>
          <w:snapToGrid/>
          <w:color w:val="FF0000"/>
          <w:kern w:val="2"/>
          <w:sz w:val="24"/>
          <w:szCs w:val="24"/>
          <w:lang w:val="en-US" w:eastAsia="zh-CN"/>
        </w:rPr>
      </w:pPr>
      <w:r>
        <w:rPr>
          <w:rFonts w:hint="eastAsia" w:ascii="宋体" w:hAnsi="宋体" w:eastAsia="宋体"/>
          <w:snapToGrid/>
          <w:color w:val="FF0000"/>
          <w:kern w:val="2"/>
          <w:sz w:val="24"/>
          <w:szCs w:val="24"/>
          <w:lang w:eastAsia="zh-CN"/>
        </w:rPr>
        <w:t>2.</w:t>
      </w:r>
      <w:r>
        <w:rPr>
          <w:rFonts w:hint="eastAsia" w:ascii="宋体" w:hAnsi="宋体" w:eastAsia="宋体"/>
          <w:snapToGrid/>
          <w:color w:val="FF0000"/>
          <w:kern w:val="2"/>
          <w:sz w:val="24"/>
          <w:szCs w:val="24"/>
          <w:lang w:val="en-US" w:eastAsia="zh-CN"/>
        </w:rPr>
        <w:t>竖版-双门头范例</w:t>
      </w:r>
    </w:p>
    <w:p w14:paraId="58F0F7C0">
      <w:pPr>
        <w:rPr>
          <w:rFonts w:ascii="宋体" w:hAnsi="宋体" w:eastAsia="宋体"/>
          <w:snapToGrid/>
          <w:color w:val="FF0000"/>
          <w:kern w:val="2"/>
          <w:sz w:val="24"/>
          <w:szCs w:val="24"/>
          <w:lang w:eastAsia="zh-CN"/>
        </w:rPr>
      </w:pPr>
      <w:r>
        <w:rPr>
          <w:color w:val="FF0000"/>
        </w:rPr>
        <w:drawing>
          <wp:inline distT="0" distB="0" distL="114300" distR="114300">
            <wp:extent cx="5600065" cy="2654935"/>
            <wp:effectExtent l="0" t="0" r="635"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600065" cy="2654935"/>
                    </a:xfrm>
                    <a:prstGeom prst="rect">
                      <a:avLst/>
                    </a:prstGeom>
                    <a:noFill/>
                    <a:ln>
                      <a:noFill/>
                    </a:ln>
                  </pic:spPr>
                </pic:pic>
              </a:graphicData>
            </a:graphic>
          </wp:inline>
        </w:drawing>
      </w:r>
    </w:p>
    <w:p w14:paraId="766D07DD">
      <w:pPr>
        <w:pStyle w:val="8"/>
        <w:rPr>
          <w:color w:val="FF0000"/>
          <w:lang w:eastAsia="zh-CN"/>
        </w:rPr>
      </w:pPr>
    </w:p>
    <w:p w14:paraId="57548126">
      <w:pPr>
        <w:rPr>
          <w:rFonts w:hint="eastAsia" w:ascii="宋体" w:hAnsi="宋体" w:eastAsia="宋体"/>
          <w:snapToGrid/>
          <w:color w:val="FF0000"/>
          <w:kern w:val="2"/>
          <w:sz w:val="24"/>
          <w:szCs w:val="24"/>
          <w:lang w:eastAsia="zh-CN"/>
        </w:rPr>
      </w:pPr>
      <w:r>
        <w:rPr>
          <w:rFonts w:hint="eastAsia" w:ascii="宋体" w:hAnsi="宋体" w:eastAsia="宋体"/>
          <w:snapToGrid/>
          <w:color w:val="FF0000"/>
          <w:kern w:val="2"/>
          <w:sz w:val="24"/>
          <w:szCs w:val="24"/>
          <w:lang w:eastAsia="zh-CN"/>
        </w:rPr>
        <w:t>3.</w:t>
      </w:r>
      <w:r>
        <w:rPr>
          <w:rFonts w:hint="eastAsia" w:ascii="宋体" w:hAnsi="宋体" w:eastAsia="宋体"/>
          <w:snapToGrid/>
          <w:color w:val="FF0000"/>
          <w:kern w:val="2"/>
          <w:sz w:val="24"/>
          <w:szCs w:val="24"/>
          <w:lang w:val="en-US" w:eastAsia="zh-CN"/>
        </w:rPr>
        <w:t>横版-双门头范例</w:t>
      </w:r>
    </w:p>
    <w:p w14:paraId="2C91B139">
      <w:pPr>
        <w:rPr>
          <w:rFonts w:hint="eastAsia" w:ascii="宋体" w:hAnsi="宋体" w:eastAsia="宋体"/>
          <w:snapToGrid/>
          <w:color w:val="FF0000"/>
          <w:kern w:val="2"/>
          <w:sz w:val="24"/>
          <w:szCs w:val="24"/>
          <w:lang w:eastAsia="zh-CN"/>
        </w:rPr>
      </w:pPr>
      <w:r>
        <w:rPr>
          <w:color w:val="FF0000"/>
        </w:rPr>
        <w:drawing>
          <wp:inline distT="0" distB="0" distL="114300" distR="114300">
            <wp:extent cx="5599430" cy="2332355"/>
            <wp:effectExtent l="0" t="0" r="1270" b="44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599430" cy="2332355"/>
                    </a:xfrm>
                    <a:prstGeom prst="rect">
                      <a:avLst/>
                    </a:prstGeom>
                    <a:noFill/>
                    <a:ln>
                      <a:noFill/>
                    </a:ln>
                  </pic:spPr>
                </pic:pic>
              </a:graphicData>
            </a:graphic>
          </wp:inline>
        </w:drawing>
      </w:r>
    </w:p>
    <w:p w14:paraId="6EF8224C">
      <w:pPr>
        <w:rPr>
          <w:rFonts w:ascii="宋体" w:hAnsi="宋体" w:eastAsia="宋体"/>
          <w:b/>
          <w:snapToGrid/>
          <w:color w:val="FF0000"/>
          <w:kern w:val="2"/>
          <w:sz w:val="24"/>
          <w:szCs w:val="24"/>
          <w:lang w:eastAsia="zh-CN"/>
        </w:rPr>
      </w:pPr>
      <w:r>
        <w:rPr>
          <w:rFonts w:hint="eastAsia" w:ascii="宋体" w:hAnsi="宋体" w:eastAsia="宋体"/>
          <w:b/>
          <w:snapToGrid/>
          <w:color w:val="FF0000"/>
          <w:kern w:val="2"/>
          <w:sz w:val="24"/>
          <w:szCs w:val="24"/>
          <w:lang w:eastAsia="zh-CN"/>
        </w:rPr>
        <w:t>4.2施工图</w:t>
      </w:r>
    </w:p>
    <w:p w14:paraId="212B7B22">
      <w:pPr>
        <w:rPr>
          <w:snapToGrid/>
          <w:color w:val="FF0000"/>
          <w:kern w:val="2"/>
          <w:lang w:eastAsia="zh-CN"/>
        </w:rPr>
      </w:pPr>
      <w:r>
        <w:rPr>
          <w:color w:val="FF0000"/>
        </w:rPr>
        <w:drawing>
          <wp:inline distT="0" distB="0" distL="114300" distR="114300">
            <wp:extent cx="5596890" cy="3941445"/>
            <wp:effectExtent l="0" t="0" r="3810"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596890" cy="3941445"/>
                    </a:xfrm>
                    <a:prstGeom prst="rect">
                      <a:avLst/>
                    </a:prstGeom>
                    <a:noFill/>
                    <a:ln>
                      <a:noFill/>
                    </a:ln>
                  </pic:spPr>
                </pic:pic>
              </a:graphicData>
            </a:graphic>
          </wp:inline>
        </w:drawing>
      </w:r>
    </w:p>
    <w:p w14:paraId="0B7B0418">
      <w:pPr>
        <w:widowControl w:val="0"/>
        <w:kinsoku/>
        <w:autoSpaceDE/>
        <w:autoSpaceDN/>
        <w:adjustRightInd/>
        <w:snapToGrid/>
        <w:spacing w:line="288" w:lineRule="auto"/>
        <w:jc w:val="both"/>
        <w:textAlignment w:val="auto"/>
        <w:rPr>
          <w:rFonts w:ascii="Times New Roman" w:hAnsi="Times New Roman" w:eastAsia="宋体" w:cs="Times New Roman"/>
          <w:snapToGrid/>
          <w:color w:val="FF0000"/>
          <w:kern w:val="2"/>
          <w:sz w:val="24"/>
          <w:szCs w:val="24"/>
          <w:lang w:eastAsia="zh-CN"/>
        </w:rPr>
      </w:pPr>
    </w:p>
    <w:p w14:paraId="6DD2BCC5">
      <w:pPr>
        <w:spacing w:line="360" w:lineRule="auto"/>
        <w:rPr>
          <w:rFonts w:ascii="宋体" w:hAnsi="宋体" w:eastAsia="宋体"/>
          <w:b/>
          <w:color w:val="FF0000"/>
          <w:sz w:val="24"/>
          <w:szCs w:val="24"/>
          <w:lang w:eastAsia="zh-CN"/>
        </w:rPr>
      </w:pPr>
      <w:r>
        <w:rPr>
          <w:rFonts w:hint="eastAsia" w:ascii="宋体" w:hAnsi="宋体" w:eastAsia="宋体"/>
          <w:b/>
          <w:color w:val="FF0000"/>
          <w:sz w:val="24"/>
          <w:szCs w:val="24"/>
          <w:lang w:eastAsia="zh-CN"/>
        </w:rPr>
        <w:t>五、其他要求</w:t>
      </w:r>
    </w:p>
    <w:p w14:paraId="19BB7E98">
      <w:pPr>
        <w:spacing w:line="360" w:lineRule="auto"/>
        <w:rPr>
          <w:rFonts w:ascii="宋体" w:hAnsi="宋体" w:eastAsia="宋体"/>
          <w:b/>
          <w:color w:val="FF0000"/>
          <w:sz w:val="24"/>
          <w:szCs w:val="24"/>
          <w:lang w:eastAsia="zh-CN"/>
        </w:rPr>
      </w:pPr>
      <w:r>
        <w:rPr>
          <w:rFonts w:hint="eastAsia" w:ascii="宋体" w:hAnsi="宋体" w:eastAsia="宋体"/>
          <w:b/>
          <w:color w:val="FF0000"/>
          <w:sz w:val="24"/>
          <w:szCs w:val="24"/>
          <w:lang w:eastAsia="zh-CN"/>
        </w:rPr>
        <w:t>5.1对项目制作及安装的技术要求</w:t>
      </w:r>
    </w:p>
    <w:p w14:paraId="3F1FDB49">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1.负责办理相关进场施工手续。在施工期间，负责与职能部门（包括但不限于城市管理、综合执法、环境、卫生、街道办事处等）进行接洽及处理施工事宜。</w:t>
      </w:r>
    </w:p>
    <w:p w14:paraId="4D167E5D">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2.必须按给定的图纸进行细化和施工。</w:t>
      </w:r>
    </w:p>
    <w:p w14:paraId="75A9E9DF">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3.所采用的原材料及产地、生产厂家、价格应征得招标人的同意，并事先提供有关检测报告、技术指标、消防部门准用证等资料。</w:t>
      </w:r>
    </w:p>
    <w:p w14:paraId="6D3CFCBE">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4.装修结构施工要安全可靠，所使用装修材料必须符合国家及河南省政府有关部门对消防、环保、卫生防疫等方面的要求以及规范规定。严禁使用国家明令淘汰的材料，其与结构的连接应符合规范。使用前必须得到招标人和监理方的认可并送有关质量监督检验部门进行合格性检测。如果材料不合格，招标人和监理单位有权要求承包人更换合格材料，所发生的费用由承包人负担，投标报价不得调整。</w:t>
      </w:r>
    </w:p>
    <w:p w14:paraId="42E0D651">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5.进场材料必须按要求进行防火、防水、防潮、防腐蚀和防虫的处理。</w:t>
      </w:r>
    </w:p>
    <w:p w14:paraId="3D601DAF">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6.提供工程施工人员名单及相应的岗位资格证书。</w:t>
      </w:r>
    </w:p>
    <w:p w14:paraId="06DAE2B5">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7.投标人应针对所施工的项目提出施工工艺标准和施工技术方案，以及实行全程质量控制的措施。尤其对装修施工常见的影响装修质量和整体效果的问题要提出具体应对措施和方法。</w:t>
      </w:r>
    </w:p>
    <w:p w14:paraId="760F94DF">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8.按照招标人的要求制作样板间或样板件，经招标人和有关各方确认后，按样板间(件)进行施工；</w:t>
      </w:r>
    </w:p>
    <w:p w14:paraId="7BC52D55">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9.作好成品半成品的保护，并列出实施保护的有效措施</w:t>
      </w:r>
    </w:p>
    <w:p w14:paraId="00DB71BD">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10.施工要充分考虑与外部的配合，并提出配合措施。</w:t>
      </w:r>
    </w:p>
    <w:p w14:paraId="3C86FEFE">
      <w:pPr>
        <w:spacing w:line="360" w:lineRule="auto"/>
        <w:rPr>
          <w:rFonts w:ascii="宋体" w:hAnsi="宋体" w:eastAsia="宋体"/>
          <w:b/>
          <w:color w:val="FF0000"/>
          <w:sz w:val="24"/>
          <w:szCs w:val="24"/>
          <w:lang w:eastAsia="zh-CN"/>
        </w:rPr>
      </w:pPr>
      <w:r>
        <w:rPr>
          <w:rFonts w:hint="eastAsia" w:ascii="宋体" w:hAnsi="宋体" w:eastAsia="宋体"/>
          <w:b/>
          <w:color w:val="FF0000"/>
          <w:sz w:val="24"/>
          <w:szCs w:val="24"/>
          <w:lang w:eastAsia="zh-CN"/>
        </w:rPr>
        <w:t>5.2保护和清理</w:t>
      </w:r>
    </w:p>
    <w:p w14:paraId="4857D79D">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1.从装箱、运输、现场储存、安装到竣工，投标人要对所有构件和附件加以保护，如有损坏由投标人负责。</w:t>
      </w:r>
    </w:p>
    <w:p w14:paraId="75DA4A84">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2.在全部项目完工交付使用前，投标人要拆除所有包装和保护层，用合适的清洁剂清理表面，所有排气设备、五金进行最后的调整，准备好“清洗维修手册”，列出各类清洗部件，清洗方法和清洗、修补及维修工作的各类密封材料，经验收合格后最后移交给招标人。</w:t>
      </w:r>
    </w:p>
    <w:p w14:paraId="1EAE5CBE">
      <w:pPr>
        <w:spacing w:line="360" w:lineRule="auto"/>
        <w:rPr>
          <w:rFonts w:ascii="宋体" w:hAnsi="宋体" w:eastAsia="宋体"/>
          <w:b/>
          <w:color w:val="FF0000"/>
          <w:sz w:val="24"/>
          <w:szCs w:val="24"/>
          <w:lang w:eastAsia="zh-CN"/>
        </w:rPr>
      </w:pPr>
      <w:r>
        <w:rPr>
          <w:rFonts w:hint="eastAsia" w:ascii="宋体" w:hAnsi="宋体" w:eastAsia="宋体"/>
          <w:b/>
          <w:color w:val="FF0000"/>
          <w:sz w:val="24"/>
          <w:szCs w:val="24"/>
          <w:lang w:eastAsia="zh-CN"/>
        </w:rPr>
        <w:t>5.3保修期及保养条件</w:t>
      </w:r>
    </w:p>
    <w:p w14:paraId="2DC012A8">
      <w:pPr>
        <w:spacing w:line="360" w:lineRule="auto"/>
        <w:rPr>
          <w:rFonts w:ascii="宋体" w:hAnsi="宋体" w:eastAsia="宋体"/>
          <w:color w:val="FF0000"/>
          <w:sz w:val="24"/>
          <w:szCs w:val="24"/>
          <w:lang w:eastAsia="zh-CN"/>
        </w:rPr>
      </w:pPr>
      <w:r>
        <w:rPr>
          <w:rFonts w:hint="eastAsia" w:ascii="宋体" w:hAnsi="宋体" w:eastAsia="宋体"/>
          <w:color w:val="FF0000"/>
          <w:sz w:val="24"/>
          <w:szCs w:val="24"/>
          <w:lang w:eastAsia="zh-CN"/>
        </w:rPr>
        <w:t xml:space="preserve">   本项目从竣工验收合格交付使用后，按国家规定时间和投标人的承诺时间保修。在此期间发生因投标人原因造成漏水、结构破坏、铝板、玻璃等材料表面脱膜变色、腐蚀变形、五金配件损坏等现象，投标人应及时提供免费维修或更换。投标人如不及时保修，招标人可以委托其他单位维修，发生的修复费用从投标人的履约保证金中扣除。</w:t>
      </w:r>
    </w:p>
    <w:p w14:paraId="0498DE0A">
      <w:pPr>
        <w:spacing w:line="360" w:lineRule="auto"/>
        <w:rPr>
          <w:rFonts w:ascii="宋体" w:hAnsi="宋体" w:eastAsia="宋体"/>
          <w:b/>
          <w:color w:val="FF0000"/>
          <w:sz w:val="24"/>
          <w:szCs w:val="24"/>
          <w:lang w:eastAsia="zh-CN"/>
        </w:rPr>
      </w:pPr>
      <w:r>
        <w:rPr>
          <w:rFonts w:hint="eastAsia" w:ascii="宋体" w:hAnsi="宋体" w:eastAsia="宋体"/>
          <w:b/>
          <w:color w:val="FF0000"/>
          <w:sz w:val="24"/>
          <w:szCs w:val="24"/>
          <w:lang w:eastAsia="zh-CN"/>
        </w:rPr>
        <w:t>5.4竣工验收检查文件的内容</w:t>
      </w:r>
    </w:p>
    <w:p w14:paraId="210A85B4">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1.设计图纸(含说明书、设计变更技术核定单等)</w:t>
      </w:r>
    </w:p>
    <w:p w14:paraId="0687BF13">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2.材料的产品合格证书、性能检测报告、进场验收记录和复验报告等；</w:t>
      </w:r>
    </w:p>
    <w:p w14:paraId="431E8F93">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3.隐蔽工程验收记录；</w:t>
      </w:r>
    </w:p>
    <w:p w14:paraId="5D5F8A18">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4.施工记录；</w:t>
      </w:r>
    </w:p>
    <w:p w14:paraId="1D665A7E">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5.特种材料、工件（及附件）的生产许可证；</w:t>
      </w:r>
    </w:p>
    <w:p w14:paraId="05754832">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6.后置埋件的现场拉拔检测报告；</w:t>
      </w:r>
    </w:p>
    <w:p w14:paraId="585CFFD4">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7.饰面砖样板件的粘结强度检测报告；</w:t>
      </w:r>
    </w:p>
    <w:p w14:paraId="509E1D3E">
      <w:pPr>
        <w:spacing w:line="360" w:lineRule="auto"/>
        <w:ind w:firstLine="424" w:firstLineChars="177"/>
        <w:rPr>
          <w:rFonts w:ascii="宋体" w:hAnsi="宋体" w:eastAsia="宋体"/>
          <w:color w:val="FF0000"/>
          <w:sz w:val="24"/>
          <w:szCs w:val="24"/>
          <w:lang w:eastAsia="zh-CN"/>
        </w:rPr>
      </w:pPr>
      <w:r>
        <w:rPr>
          <w:rFonts w:hint="eastAsia" w:ascii="宋体" w:hAnsi="宋体" w:eastAsia="宋体"/>
          <w:color w:val="FF0000"/>
          <w:sz w:val="24"/>
          <w:szCs w:val="24"/>
          <w:lang w:eastAsia="zh-CN"/>
        </w:rPr>
        <w:t>8. 其它要求随答疑纪要发放。</w:t>
      </w:r>
    </w:p>
    <w:p w14:paraId="61D6E6E1">
      <w:pPr>
        <w:spacing w:line="360" w:lineRule="auto"/>
        <w:ind w:firstLine="241" w:firstLineChars="100"/>
        <w:rPr>
          <w:rFonts w:ascii="宋体" w:hAnsi="宋体" w:eastAsia="宋体" w:cs="宋体"/>
          <w:b/>
          <w:bCs/>
          <w:snapToGrid/>
          <w:color w:val="FF0000"/>
          <w:kern w:val="2"/>
          <w:sz w:val="24"/>
          <w:szCs w:val="24"/>
          <w:lang w:eastAsia="zh-CN"/>
        </w:rPr>
      </w:pPr>
      <w:r>
        <w:rPr>
          <w:rFonts w:hint="eastAsia" w:ascii="宋体" w:hAnsi="宋体" w:eastAsia="宋体"/>
          <w:b/>
          <w:color w:val="FF0000"/>
          <w:sz w:val="24"/>
          <w:szCs w:val="24"/>
          <w:lang w:eastAsia="zh-CN"/>
        </w:rPr>
        <w:t>5.5</w:t>
      </w:r>
      <w:r>
        <w:rPr>
          <w:rFonts w:hint="eastAsia" w:ascii="宋体" w:hAnsi="宋体" w:eastAsia="宋体" w:cs="宋体"/>
          <w:b/>
          <w:bCs/>
          <w:snapToGrid/>
          <w:color w:val="FF0000"/>
          <w:kern w:val="2"/>
          <w:sz w:val="24"/>
          <w:szCs w:val="24"/>
          <w:lang w:eastAsia="zh-CN"/>
        </w:rPr>
        <w:t>项目其他商务要求</w:t>
      </w:r>
    </w:p>
    <w:p w14:paraId="3147DDC2">
      <w:pPr>
        <w:spacing w:line="360" w:lineRule="auto"/>
        <w:ind w:firstLine="424" w:firstLineChars="177"/>
        <w:rPr>
          <w:rFonts w:hint="eastAsia" w:asciiTheme="minorEastAsia" w:hAnsiTheme="minorEastAsia"/>
          <w:color w:val="FF0000"/>
          <w:kern w:val="2"/>
          <w:sz w:val="24"/>
          <w:szCs w:val="24"/>
          <w:lang w:eastAsia="zh-CN"/>
        </w:rPr>
      </w:pPr>
      <w:r>
        <w:rPr>
          <w:rFonts w:hint="eastAsia" w:asciiTheme="minorEastAsia" w:hAnsiTheme="minorEastAsia"/>
          <w:color w:val="FF0000"/>
          <w:kern w:val="2"/>
          <w:sz w:val="24"/>
          <w:szCs w:val="24"/>
          <w:lang w:eastAsia="zh-CN"/>
        </w:rPr>
        <w:t>1.计划工期：</w:t>
      </w:r>
      <w:r>
        <w:rPr>
          <w:rFonts w:hint="eastAsia" w:asciiTheme="minorEastAsia" w:hAnsiTheme="minorEastAsia"/>
          <w:color w:val="FF0000"/>
          <w:kern w:val="2"/>
          <w:sz w:val="24"/>
          <w:szCs w:val="24"/>
          <w:lang w:val="en-US" w:eastAsia="zh-CN"/>
        </w:rPr>
        <w:t xml:space="preserve">  </w:t>
      </w:r>
      <w:r>
        <w:rPr>
          <w:rFonts w:hint="eastAsia" w:asciiTheme="minorEastAsia" w:hAnsiTheme="minorEastAsia"/>
          <w:color w:val="FF0000"/>
          <w:kern w:val="2"/>
          <w:sz w:val="24"/>
          <w:szCs w:val="24"/>
          <w:lang w:eastAsia="zh-CN"/>
        </w:rPr>
        <w:t>日历天。单个门店在符合进场施工条件后，施工期限不超过10日历天；</w:t>
      </w:r>
    </w:p>
    <w:p w14:paraId="3D2130EB">
      <w:pPr>
        <w:spacing w:line="360" w:lineRule="auto"/>
        <w:ind w:firstLine="360" w:firstLineChars="150"/>
        <w:rPr>
          <w:rFonts w:asciiTheme="minorEastAsia" w:hAnsiTheme="minorEastAsia"/>
          <w:color w:val="FF0000"/>
          <w:kern w:val="2"/>
          <w:sz w:val="24"/>
          <w:szCs w:val="24"/>
          <w:lang w:eastAsia="zh-CN"/>
        </w:rPr>
      </w:pPr>
      <w:r>
        <w:rPr>
          <w:rFonts w:hint="eastAsia" w:asciiTheme="minorEastAsia" w:hAnsiTheme="minorEastAsia"/>
          <w:color w:val="FF0000"/>
          <w:kern w:val="2"/>
          <w:sz w:val="24"/>
          <w:szCs w:val="24"/>
          <w:lang w:eastAsia="zh-CN"/>
        </w:rPr>
        <w:t>2.质量要求：符合国家、省、市现行相关规范标准，质量达到合格要求；</w:t>
      </w:r>
    </w:p>
    <w:p w14:paraId="7469728A">
      <w:pPr>
        <w:spacing w:line="360" w:lineRule="auto"/>
        <w:ind w:left="1" w:firstLine="424" w:firstLineChars="177"/>
        <w:rPr>
          <w:rFonts w:asciiTheme="minorEastAsia" w:hAnsiTheme="minorEastAsia"/>
          <w:color w:val="FF0000"/>
          <w:kern w:val="2"/>
          <w:sz w:val="24"/>
          <w:szCs w:val="24"/>
          <w:lang w:eastAsia="zh-CN"/>
        </w:rPr>
      </w:pPr>
      <w:r>
        <w:rPr>
          <w:rFonts w:hint="eastAsia" w:asciiTheme="minorEastAsia" w:hAnsiTheme="minorEastAsia"/>
          <w:color w:val="FF0000"/>
          <w:kern w:val="2"/>
          <w:sz w:val="24"/>
          <w:szCs w:val="24"/>
          <w:lang w:eastAsia="zh-CN"/>
        </w:rPr>
        <w:t>3.保修期：二年（自工程竣工验收合格之日起计算）；</w:t>
      </w:r>
    </w:p>
    <w:p w14:paraId="54B55E5E">
      <w:pPr>
        <w:spacing w:line="360" w:lineRule="auto"/>
        <w:ind w:firstLine="424" w:firstLineChars="177"/>
        <w:rPr>
          <w:rFonts w:asciiTheme="minorEastAsia" w:hAnsiTheme="minorEastAsia"/>
          <w:color w:val="FF0000"/>
          <w:kern w:val="2"/>
          <w:sz w:val="24"/>
          <w:szCs w:val="24"/>
          <w:lang w:eastAsia="zh-CN"/>
        </w:rPr>
      </w:pPr>
      <w:r>
        <w:rPr>
          <w:rFonts w:hint="eastAsia" w:asciiTheme="minorEastAsia" w:hAnsiTheme="minorEastAsia"/>
          <w:color w:val="FF0000"/>
          <w:kern w:val="2"/>
          <w:sz w:val="24"/>
          <w:szCs w:val="24"/>
          <w:lang w:eastAsia="zh-CN"/>
        </w:rPr>
        <w:t>4.工程施工要求：</w:t>
      </w:r>
      <w:r>
        <w:rPr>
          <w:rFonts w:hint="eastAsia" w:asciiTheme="minorEastAsia" w:hAnsiTheme="minorEastAsia"/>
          <w:color w:val="FF0000"/>
          <w:kern w:val="2"/>
          <w:sz w:val="24"/>
          <w:szCs w:val="24"/>
          <w:highlight w:val="none"/>
          <w:lang w:eastAsia="zh-CN"/>
        </w:rPr>
        <w:t>按照项目要求及店面实际情况进行施工，在施工过程中施工单位能够达到边营业边施工（上午9点至晚上22点为营业时间，营业时间可以施工， 需做安全保护、并不影响正常营业），并负责在施工过程中与当地监督管理部门的协调工作，施工完成后应恢复实体店墙面专区</w:t>
      </w:r>
      <w:r>
        <w:rPr>
          <w:rFonts w:hint="eastAsia" w:asciiTheme="minorEastAsia" w:hAnsiTheme="minorEastAsia"/>
          <w:color w:val="FF0000"/>
          <w:kern w:val="2"/>
          <w:sz w:val="24"/>
          <w:szCs w:val="24"/>
          <w:lang w:eastAsia="zh-CN"/>
        </w:rPr>
        <w:t>。</w:t>
      </w:r>
    </w:p>
    <w:p w14:paraId="6197A609">
      <w:pPr>
        <w:widowControl w:val="0"/>
        <w:kinsoku/>
        <w:autoSpaceDE/>
        <w:autoSpaceDN/>
        <w:adjustRightInd/>
        <w:spacing w:line="360" w:lineRule="auto"/>
        <w:ind w:firstLine="424" w:firstLineChars="177"/>
        <w:jc w:val="both"/>
        <w:textAlignment w:val="auto"/>
        <w:rPr>
          <w:rFonts w:ascii="宋体" w:hAnsi="宋体" w:eastAsia="宋体" w:cs="宋体"/>
          <w:snapToGrid/>
          <w:color w:val="FF0000"/>
          <w:kern w:val="2"/>
          <w:sz w:val="24"/>
          <w:szCs w:val="24"/>
          <w:lang w:eastAsia="zh-CN"/>
        </w:rPr>
      </w:pPr>
      <w:r>
        <w:rPr>
          <w:rFonts w:hint="eastAsia" w:ascii="宋体" w:hAnsi="宋体" w:eastAsia="宋体" w:cs="宋体"/>
          <w:snapToGrid/>
          <w:color w:val="FF0000"/>
          <w:kern w:val="2"/>
          <w:sz w:val="24"/>
          <w:szCs w:val="24"/>
          <w:lang w:eastAsia="zh-CN"/>
        </w:rPr>
        <w:t>5. 售后服务：中标供应商在接到采购人的报修电话后，应立即做出响应，维护人员应在24小时内到达现场，</w:t>
      </w:r>
      <w:r>
        <w:rPr>
          <w:rFonts w:hint="eastAsia" w:asciiTheme="minorEastAsia" w:hAnsiTheme="minorEastAsia"/>
          <w:color w:val="FF0000"/>
          <w:sz w:val="24"/>
          <w:szCs w:val="24"/>
          <w:lang w:eastAsia="zh-CN"/>
        </w:rPr>
        <w:t>48小时内解决问题或制定经业主方认同的修缮方案</w:t>
      </w:r>
      <w:r>
        <w:rPr>
          <w:rFonts w:hint="eastAsia" w:ascii="宋体" w:hAnsi="宋体" w:eastAsia="宋体" w:cs="宋体"/>
          <w:snapToGrid/>
          <w:color w:val="FF0000"/>
          <w:kern w:val="2"/>
          <w:sz w:val="24"/>
          <w:szCs w:val="24"/>
          <w:lang w:eastAsia="zh-CN"/>
        </w:rPr>
        <w:t>。自安装之日起免费维修，并终身提供相应配件。如产品质量问题造成的更换及维修，费用由中标供应商承担。如因人为损坏或超过保修期的收取辅料或配件成本。无论是正常维修还是人为损坏引起的维修或是超过保修期限的维修均免收人工费。</w:t>
      </w:r>
    </w:p>
    <w:p w14:paraId="7E7EFF08">
      <w:pPr>
        <w:widowControl w:val="0"/>
        <w:kinsoku/>
        <w:autoSpaceDE/>
        <w:autoSpaceDN/>
        <w:adjustRightInd/>
        <w:spacing w:line="360" w:lineRule="auto"/>
        <w:ind w:firstLine="424" w:firstLineChars="177"/>
        <w:jc w:val="both"/>
        <w:textAlignment w:val="auto"/>
        <w:rPr>
          <w:rFonts w:ascii="宋体" w:hAnsi="宋体" w:eastAsia="宋体" w:cs="宋体"/>
          <w:snapToGrid/>
          <w:color w:val="FF0000"/>
          <w:kern w:val="2"/>
          <w:sz w:val="24"/>
          <w:szCs w:val="24"/>
          <w:lang w:eastAsia="zh-CN"/>
        </w:rPr>
      </w:pPr>
      <w:r>
        <w:rPr>
          <w:rFonts w:hint="eastAsia" w:ascii="宋体" w:hAnsi="宋体" w:eastAsia="宋体" w:cs="宋体"/>
          <w:snapToGrid/>
          <w:color w:val="FF0000"/>
          <w:kern w:val="2"/>
          <w:sz w:val="24"/>
          <w:szCs w:val="24"/>
          <w:lang w:eastAsia="zh-CN"/>
        </w:rPr>
        <w:t>6.知识产权：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p>
    <w:p w14:paraId="786CFD85">
      <w:pPr>
        <w:widowControl w:val="0"/>
        <w:kinsoku/>
        <w:autoSpaceDE/>
        <w:autoSpaceDN/>
        <w:adjustRightInd/>
        <w:spacing w:line="360" w:lineRule="auto"/>
        <w:ind w:firstLine="424" w:firstLineChars="177"/>
        <w:jc w:val="both"/>
        <w:textAlignment w:val="auto"/>
        <w:rPr>
          <w:rFonts w:ascii="宋体" w:hAnsi="宋体" w:eastAsia="宋体" w:cs="宋体"/>
          <w:snapToGrid/>
          <w:color w:val="FF0000"/>
          <w:kern w:val="2"/>
          <w:sz w:val="24"/>
          <w:szCs w:val="24"/>
          <w:lang w:eastAsia="zh-CN"/>
        </w:rPr>
      </w:pPr>
      <w:r>
        <w:rPr>
          <w:rFonts w:hint="eastAsia" w:ascii="宋体" w:hAnsi="宋体" w:eastAsia="宋体" w:cs="宋体"/>
          <w:snapToGrid/>
          <w:color w:val="FF0000"/>
          <w:kern w:val="2"/>
          <w:sz w:val="24"/>
          <w:szCs w:val="24"/>
          <w:lang w:eastAsia="zh-CN"/>
        </w:rPr>
        <w:t>7.验收标准:乙方完整落实合同约定的技术服务内容及要求，按国家行业标准验收。</w:t>
      </w:r>
    </w:p>
    <w:p w14:paraId="1DE4A59C">
      <w:pPr>
        <w:widowControl w:val="0"/>
        <w:kinsoku/>
        <w:autoSpaceDE/>
        <w:autoSpaceDN/>
        <w:adjustRightInd/>
        <w:spacing w:line="360" w:lineRule="auto"/>
        <w:ind w:firstLine="424" w:firstLineChars="177"/>
        <w:jc w:val="both"/>
        <w:textAlignment w:val="auto"/>
        <w:rPr>
          <w:rFonts w:ascii="宋体" w:hAnsi="宋体" w:eastAsia="宋体" w:cs="宋体"/>
          <w:snapToGrid/>
          <w:color w:val="FF0000"/>
          <w:kern w:val="2"/>
          <w:sz w:val="24"/>
          <w:szCs w:val="24"/>
          <w:lang w:eastAsia="zh-CN"/>
        </w:rPr>
      </w:pPr>
      <w:r>
        <w:rPr>
          <w:rFonts w:hint="eastAsia" w:ascii="宋体" w:hAnsi="宋体" w:eastAsia="宋体" w:cs="宋体"/>
          <w:snapToGrid/>
          <w:color w:val="FF0000"/>
          <w:kern w:val="2"/>
          <w:sz w:val="24"/>
          <w:szCs w:val="24"/>
          <w:lang w:eastAsia="zh-CN"/>
        </w:rPr>
        <w:t xml:space="preserve">8.付款方式：采购人在合同中具体约定。 </w:t>
      </w:r>
    </w:p>
    <w:p w14:paraId="61A8ABF8">
      <w:pPr>
        <w:widowControl w:val="0"/>
        <w:kinsoku/>
        <w:autoSpaceDE/>
        <w:autoSpaceDN/>
        <w:adjustRightInd/>
        <w:spacing w:line="360" w:lineRule="auto"/>
        <w:ind w:firstLine="424" w:firstLineChars="177"/>
        <w:jc w:val="both"/>
        <w:textAlignment w:val="auto"/>
        <w:rPr>
          <w:rFonts w:ascii="宋体" w:hAnsi="宋体" w:eastAsia="宋体" w:cs="宋体"/>
          <w:snapToGrid/>
          <w:color w:val="FF0000"/>
          <w:kern w:val="2"/>
          <w:sz w:val="24"/>
          <w:szCs w:val="24"/>
          <w:lang w:eastAsia="zh-CN"/>
        </w:rPr>
      </w:pPr>
      <w:r>
        <w:rPr>
          <w:rFonts w:hint="eastAsia" w:ascii="宋体" w:hAnsi="宋体" w:eastAsia="宋体" w:cs="宋体"/>
          <w:snapToGrid/>
          <w:color w:val="FF0000"/>
          <w:kern w:val="2"/>
          <w:sz w:val="24"/>
          <w:szCs w:val="24"/>
          <w:lang w:eastAsia="zh-CN"/>
        </w:rPr>
        <w:t>9.违约处罚：采购人在合同中具体约定。</w:t>
      </w:r>
    </w:p>
    <w:p w14:paraId="6398385D">
      <w:pPr>
        <w:spacing w:line="300" w:lineRule="auto"/>
        <w:rPr>
          <w:rFonts w:asciiTheme="minorEastAsia" w:hAnsiTheme="minorEastAsia"/>
          <w:color w:val="FF0000"/>
          <w:sz w:val="24"/>
          <w:szCs w:val="24"/>
          <w:lang w:eastAsia="zh-CN"/>
        </w:rPr>
      </w:pPr>
    </w:p>
    <w:p w14:paraId="39A66853">
      <w:pPr>
        <w:spacing w:line="360" w:lineRule="auto"/>
        <w:rPr>
          <w:rFonts w:ascii="宋体" w:hAnsi="宋体" w:eastAsia="宋体"/>
          <w:color w:val="FF0000"/>
          <w:sz w:val="24"/>
          <w:szCs w:val="24"/>
          <w:lang w:eastAsia="zh-CN"/>
        </w:rPr>
      </w:pPr>
    </w:p>
    <w:p w14:paraId="3201895F">
      <w:pPr>
        <w:kinsoku/>
        <w:autoSpaceDE/>
        <w:autoSpaceDN/>
        <w:adjustRightInd/>
        <w:snapToGrid/>
        <w:textAlignment w:val="auto"/>
        <w:rPr>
          <w:rFonts w:ascii="宋体" w:hAnsi="宋体" w:eastAsia="宋体"/>
          <w:color w:val="FF0000"/>
          <w:sz w:val="24"/>
          <w:szCs w:val="24"/>
          <w:lang w:eastAsia="zh-CN"/>
        </w:rPr>
      </w:pPr>
      <w:r>
        <w:rPr>
          <w:rFonts w:ascii="宋体" w:hAnsi="宋体" w:eastAsia="宋体"/>
          <w:color w:val="FF0000"/>
          <w:sz w:val="24"/>
          <w:szCs w:val="24"/>
          <w:lang w:eastAsia="zh-CN"/>
        </w:rPr>
        <w:br w:type="page"/>
      </w:r>
    </w:p>
    <w:p w14:paraId="54B60021">
      <w:pPr>
        <w:numPr>
          <w:ilvl w:val="0"/>
          <w:numId w:val="0"/>
        </w:numPr>
        <w:ind w:leftChars="0"/>
        <w:rPr>
          <w:color w:val="auto"/>
          <w:lang w:eastAsia="zh-CN"/>
        </w:rPr>
      </w:pPr>
    </w:p>
    <w:p w14:paraId="300FA1BD">
      <w:pPr>
        <w:pStyle w:val="5"/>
        <w:spacing w:line="360" w:lineRule="auto"/>
        <w:jc w:val="center"/>
        <w:rPr>
          <w:rFonts w:asciiTheme="minorEastAsia" w:hAnsiTheme="minorEastAsia"/>
          <w:color w:val="auto"/>
          <w:sz w:val="28"/>
          <w:szCs w:val="28"/>
          <w:lang w:eastAsia="zh-CN"/>
        </w:rPr>
      </w:pPr>
      <w:bookmarkStart w:id="540" w:name="_Toc28916"/>
      <w:r>
        <w:rPr>
          <w:color w:val="auto"/>
          <w:sz w:val="28"/>
          <w:szCs w:val="28"/>
          <w:lang w:eastAsia="zh-CN"/>
        </w:rPr>
        <w:t>第</w:t>
      </w:r>
      <w:r>
        <w:rPr>
          <w:rFonts w:hint="eastAsia"/>
          <w:color w:val="auto"/>
          <w:sz w:val="28"/>
          <w:szCs w:val="28"/>
          <w:lang w:eastAsia="zh-CN"/>
        </w:rPr>
        <w:t>六</w:t>
      </w:r>
      <w:r>
        <w:rPr>
          <w:color w:val="auto"/>
          <w:sz w:val="28"/>
          <w:szCs w:val="28"/>
          <w:lang w:eastAsia="zh-CN"/>
        </w:rPr>
        <w:t>章</w:t>
      </w:r>
      <w:r>
        <w:rPr>
          <w:rFonts w:hint="eastAsia"/>
          <w:color w:val="auto"/>
          <w:sz w:val="28"/>
          <w:szCs w:val="28"/>
          <w:lang w:eastAsia="zh-CN"/>
        </w:rPr>
        <w:t xml:space="preserve"> </w:t>
      </w:r>
      <w:r>
        <w:rPr>
          <w:color w:val="auto"/>
          <w:sz w:val="28"/>
          <w:szCs w:val="28"/>
          <w:lang w:eastAsia="zh-CN"/>
        </w:rPr>
        <w:t>磋商响应文件格式</w:t>
      </w:r>
      <w:bookmarkEnd w:id="540"/>
    </w:p>
    <w:p w14:paraId="50AC2E56">
      <w:pPr>
        <w:widowControl w:val="0"/>
        <w:kinsoku/>
        <w:autoSpaceDE/>
        <w:autoSpaceDN/>
        <w:adjustRightInd/>
        <w:snapToGrid/>
        <w:jc w:val="center"/>
        <w:textAlignment w:val="auto"/>
        <w:rPr>
          <w:rFonts w:ascii="宋体" w:hAnsi="宋体" w:eastAsia="宋体" w:cs="宋体"/>
          <w:snapToGrid/>
          <w:color w:val="auto"/>
          <w:kern w:val="2"/>
          <w:szCs w:val="24"/>
          <w:lang w:eastAsia="zh-CN"/>
        </w:rPr>
      </w:pPr>
    </w:p>
    <w:p w14:paraId="134056BE">
      <w:pPr>
        <w:kinsoku/>
        <w:autoSpaceDE/>
        <w:autoSpaceDN/>
        <w:adjustRightInd/>
        <w:spacing w:line="360" w:lineRule="auto"/>
        <w:jc w:val="center"/>
        <w:textAlignment w:val="auto"/>
        <w:outlineLvl w:val="1"/>
        <w:rPr>
          <w:rFonts w:ascii="宋体" w:hAnsi="宋体" w:eastAsia="宋体" w:cs="宋体"/>
          <w:b/>
          <w:bCs/>
          <w:snapToGrid/>
          <w:color w:val="auto"/>
          <w:sz w:val="28"/>
          <w:szCs w:val="28"/>
          <w:lang w:eastAsia="zh-CN"/>
        </w:rPr>
      </w:pPr>
      <w:bookmarkStart w:id="541" w:name="_Toc154389366"/>
      <w:bookmarkStart w:id="542" w:name="_Toc5931"/>
      <w:bookmarkStart w:id="543" w:name="_Toc66438743"/>
      <w:bookmarkStart w:id="544" w:name="_Toc493601399"/>
      <w:bookmarkStart w:id="545" w:name="_Toc26324"/>
      <w:bookmarkStart w:id="546" w:name="_Toc66368082"/>
      <w:bookmarkStart w:id="547" w:name="_Toc152079660"/>
      <w:bookmarkStart w:id="548" w:name="_Toc152153255"/>
      <w:bookmarkStart w:id="549" w:name="_Toc45009722"/>
      <w:r>
        <w:rPr>
          <w:rFonts w:hint="eastAsia" w:ascii="宋体" w:hAnsi="宋体" w:eastAsia="宋体" w:cs="宋体"/>
          <w:b/>
          <w:bCs/>
          <w:snapToGrid/>
          <w:color w:val="auto"/>
          <w:sz w:val="28"/>
          <w:szCs w:val="28"/>
          <w:lang w:eastAsia="zh-CN"/>
        </w:rPr>
        <w:t>响应文件封面</w:t>
      </w:r>
      <w:bookmarkEnd w:id="541"/>
      <w:bookmarkEnd w:id="542"/>
      <w:bookmarkEnd w:id="543"/>
      <w:bookmarkEnd w:id="544"/>
      <w:bookmarkEnd w:id="545"/>
      <w:bookmarkEnd w:id="546"/>
      <w:bookmarkEnd w:id="547"/>
      <w:bookmarkEnd w:id="548"/>
      <w:bookmarkEnd w:id="549"/>
    </w:p>
    <w:p w14:paraId="1C45DCE0">
      <w:pPr>
        <w:kinsoku/>
        <w:autoSpaceDE/>
        <w:autoSpaceDN/>
        <w:adjustRightInd/>
        <w:spacing w:line="360" w:lineRule="auto"/>
        <w:ind w:firstLine="560" w:firstLineChars="200"/>
        <w:jc w:val="center"/>
        <w:textAlignment w:val="auto"/>
        <w:rPr>
          <w:rFonts w:ascii="宋体" w:hAnsi="宋体" w:eastAsia="宋体" w:cs="宋体"/>
          <w:bCs/>
          <w:snapToGrid/>
          <w:color w:val="auto"/>
          <w:sz w:val="28"/>
          <w:szCs w:val="28"/>
          <w:lang w:eastAsia="zh-CN"/>
        </w:rPr>
      </w:pPr>
      <w:r>
        <w:rPr>
          <w:rFonts w:hint="eastAsia" w:ascii="宋体" w:hAnsi="宋体" w:eastAsia="宋体" w:cs="宋体"/>
          <w:bCs/>
          <w:snapToGrid/>
          <w:color w:val="auto"/>
          <w:sz w:val="28"/>
          <w:szCs w:val="28"/>
          <w:lang w:eastAsia="zh-CN"/>
        </w:rPr>
        <w:t xml:space="preserve">                                                    </w:t>
      </w:r>
    </w:p>
    <w:p w14:paraId="07E4F5E9">
      <w:pPr>
        <w:kinsoku/>
        <w:autoSpaceDE/>
        <w:autoSpaceDN/>
        <w:adjustRightInd/>
        <w:spacing w:line="360" w:lineRule="auto"/>
        <w:ind w:firstLine="562" w:firstLineChars="200"/>
        <w:jc w:val="center"/>
        <w:textAlignment w:val="auto"/>
        <w:rPr>
          <w:rFonts w:ascii="宋体" w:hAnsi="宋体" w:eastAsia="宋体" w:cs="宋体"/>
          <w:b/>
          <w:snapToGrid/>
          <w:color w:val="auto"/>
          <w:sz w:val="28"/>
          <w:szCs w:val="28"/>
          <w:lang w:eastAsia="zh-CN"/>
        </w:rPr>
      </w:pPr>
      <w:r>
        <w:rPr>
          <w:rFonts w:hint="eastAsia" w:ascii="宋体" w:hAnsi="宋体" w:eastAsia="宋体" w:cs="宋体"/>
          <w:b/>
          <w:snapToGrid/>
          <w:color w:val="auto"/>
          <w:sz w:val="28"/>
          <w:szCs w:val="28"/>
          <w:lang w:eastAsia="zh-CN"/>
        </w:rPr>
        <w:t xml:space="preserve">                                 </w:t>
      </w:r>
    </w:p>
    <w:p w14:paraId="426BCB2C">
      <w:pPr>
        <w:kinsoku/>
        <w:autoSpaceDE/>
        <w:autoSpaceDN/>
        <w:adjustRightInd/>
        <w:spacing w:line="360" w:lineRule="auto"/>
        <w:jc w:val="center"/>
        <w:textAlignment w:val="auto"/>
        <w:rPr>
          <w:rFonts w:ascii="宋体" w:hAnsi="宋体" w:eastAsia="宋体" w:cs="宋体"/>
          <w:b/>
          <w:snapToGrid/>
          <w:color w:val="auto"/>
          <w:sz w:val="36"/>
          <w:szCs w:val="36"/>
          <w:u w:val="single"/>
          <w:lang w:eastAsia="zh-CN"/>
        </w:rPr>
      </w:pPr>
      <w:r>
        <w:rPr>
          <w:rFonts w:hint="eastAsia" w:ascii="宋体" w:hAnsi="宋体" w:eastAsia="宋体" w:cs="宋体"/>
          <w:b/>
          <w:snapToGrid/>
          <w:color w:val="auto"/>
          <w:sz w:val="36"/>
          <w:szCs w:val="36"/>
          <w:u w:val="single"/>
          <w:lang w:eastAsia="zh-CN"/>
        </w:rPr>
        <w:t>（项目名称）</w:t>
      </w:r>
    </w:p>
    <w:p w14:paraId="3745B45C">
      <w:pPr>
        <w:kinsoku/>
        <w:autoSpaceDE/>
        <w:autoSpaceDN/>
        <w:adjustRightInd/>
        <w:spacing w:line="360" w:lineRule="auto"/>
        <w:jc w:val="center"/>
        <w:textAlignment w:val="auto"/>
        <w:rPr>
          <w:rFonts w:ascii="宋体" w:hAnsi="宋体" w:eastAsia="宋体" w:cs="宋体"/>
          <w:b/>
          <w:snapToGrid/>
          <w:color w:val="auto"/>
          <w:sz w:val="36"/>
          <w:szCs w:val="36"/>
          <w:lang w:eastAsia="zh-CN"/>
        </w:rPr>
      </w:pPr>
    </w:p>
    <w:p w14:paraId="612267A6">
      <w:pPr>
        <w:kinsoku/>
        <w:autoSpaceDE/>
        <w:autoSpaceDN/>
        <w:adjustRightInd/>
        <w:spacing w:line="360" w:lineRule="auto"/>
        <w:jc w:val="center"/>
        <w:textAlignment w:val="auto"/>
        <w:rPr>
          <w:rFonts w:ascii="宋体" w:hAnsi="宋体" w:eastAsia="宋体" w:cs="宋体"/>
          <w:b/>
          <w:snapToGrid/>
          <w:color w:val="auto"/>
          <w:sz w:val="84"/>
          <w:szCs w:val="84"/>
          <w:lang w:eastAsia="zh-CN"/>
        </w:rPr>
      </w:pPr>
      <w:r>
        <w:rPr>
          <w:rFonts w:hint="eastAsia" w:ascii="宋体" w:hAnsi="宋体" w:eastAsia="宋体" w:cs="宋体"/>
          <w:b/>
          <w:snapToGrid/>
          <w:color w:val="auto"/>
          <w:sz w:val="84"/>
          <w:szCs w:val="84"/>
          <w:lang w:eastAsia="zh-CN"/>
        </w:rPr>
        <w:t>响应文件</w:t>
      </w:r>
    </w:p>
    <w:p w14:paraId="74E39713">
      <w:pPr>
        <w:kinsoku/>
        <w:autoSpaceDE/>
        <w:autoSpaceDN/>
        <w:adjustRightInd/>
        <w:spacing w:line="360" w:lineRule="auto"/>
        <w:jc w:val="center"/>
        <w:textAlignment w:val="auto"/>
        <w:rPr>
          <w:rFonts w:ascii="宋体" w:hAnsi="宋体" w:eastAsia="宋体" w:cs="宋体"/>
          <w:b/>
          <w:snapToGrid/>
          <w:color w:val="auto"/>
          <w:sz w:val="28"/>
          <w:szCs w:val="28"/>
          <w:lang w:eastAsia="zh-CN"/>
        </w:rPr>
      </w:pPr>
      <w:r>
        <w:rPr>
          <w:rFonts w:hint="eastAsia" w:ascii="宋体" w:hAnsi="宋体" w:eastAsia="宋体" w:cs="宋体"/>
          <w:b/>
          <w:snapToGrid/>
          <w:color w:val="auto"/>
          <w:sz w:val="28"/>
          <w:szCs w:val="28"/>
          <w:lang w:eastAsia="zh-CN"/>
        </w:rPr>
        <w:t>项目编号：</w:t>
      </w:r>
    </w:p>
    <w:p w14:paraId="2ECE4084">
      <w:pPr>
        <w:kinsoku/>
        <w:autoSpaceDE/>
        <w:autoSpaceDN/>
        <w:adjustRightInd/>
        <w:spacing w:line="360" w:lineRule="auto"/>
        <w:ind w:firstLine="1389" w:firstLineChars="494"/>
        <w:textAlignment w:val="auto"/>
        <w:rPr>
          <w:rFonts w:ascii="宋体" w:hAnsi="宋体" w:eastAsia="宋体" w:cs="宋体"/>
          <w:b/>
          <w:snapToGrid/>
          <w:color w:val="auto"/>
          <w:sz w:val="28"/>
          <w:szCs w:val="28"/>
          <w:lang w:eastAsia="zh-CN"/>
        </w:rPr>
      </w:pPr>
    </w:p>
    <w:p w14:paraId="7226ED59">
      <w:pPr>
        <w:kinsoku/>
        <w:autoSpaceDE/>
        <w:autoSpaceDN/>
        <w:adjustRightInd/>
        <w:spacing w:line="360" w:lineRule="auto"/>
        <w:textAlignment w:val="auto"/>
        <w:rPr>
          <w:rFonts w:ascii="宋体" w:hAnsi="宋体" w:eastAsia="宋体" w:cs="宋体"/>
          <w:b/>
          <w:snapToGrid/>
          <w:color w:val="auto"/>
          <w:sz w:val="28"/>
          <w:szCs w:val="28"/>
          <w:lang w:eastAsia="zh-CN"/>
        </w:rPr>
      </w:pPr>
    </w:p>
    <w:p w14:paraId="0B06C589">
      <w:pPr>
        <w:kinsoku/>
        <w:autoSpaceDE/>
        <w:autoSpaceDN/>
        <w:adjustRightInd/>
        <w:spacing w:line="360" w:lineRule="auto"/>
        <w:ind w:firstLine="1389" w:firstLineChars="494"/>
        <w:textAlignment w:val="auto"/>
        <w:rPr>
          <w:rFonts w:ascii="宋体" w:hAnsi="宋体" w:eastAsia="宋体" w:cs="宋体"/>
          <w:b/>
          <w:snapToGrid/>
          <w:color w:val="auto"/>
          <w:sz w:val="28"/>
          <w:szCs w:val="28"/>
          <w:lang w:eastAsia="zh-CN"/>
        </w:rPr>
      </w:pPr>
    </w:p>
    <w:p w14:paraId="7FEFBE29">
      <w:pPr>
        <w:kinsoku/>
        <w:autoSpaceDE/>
        <w:autoSpaceDN/>
        <w:adjustRightInd/>
        <w:spacing w:line="360" w:lineRule="auto"/>
        <w:ind w:firstLine="1389" w:firstLineChars="494"/>
        <w:textAlignment w:val="auto"/>
        <w:rPr>
          <w:rFonts w:ascii="宋体" w:hAnsi="宋体" w:eastAsia="宋体" w:cs="宋体"/>
          <w:b/>
          <w:snapToGrid/>
          <w:color w:val="auto"/>
          <w:sz w:val="28"/>
          <w:szCs w:val="28"/>
          <w:lang w:eastAsia="zh-CN"/>
        </w:rPr>
      </w:pPr>
    </w:p>
    <w:p w14:paraId="5CE84E94">
      <w:pPr>
        <w:kinsoku/>
        <w:autoSpaceDE/>
        <w:autoSpaceDN/>
        <w:adjustRightInd/>
        <w:spacing w:line="480" w:lineRule="auto"/>
        <w:ind w:firstLine="602" w:firstLineChars="200"/>
        <w:textAlignment w:val="auto"/>
        <w:rPr>
          <w:rFonts w:ascii="宋体" w:hAnsi="宋体" w:eastAsia="宋体" w:cs="宋体"/>
          <w:b/>
          <w:snapToGrid/>
          <w:color w:val="auto"/>
          <w:sz w:val="30"/>
          <w:szCs w:val="30"/>
          <w:lang w:eastAsia="zh-CN"/>
        </w:rPr>
      </w:pPr>
      <w:r>
        <w:rPr>
          <w:rFonts w:hint="eastAsia" w:ascii="宋体" w:hAnsi="宋体" w:eastAsia="宋体" w:cs="宋体"/>
          <w:b/>
          <w:snapToGrid/>
          <w:color w:val="auto"/>
          <w:sz w:val="30"/>
          <w:szCs w:val="30"/>
          <w:lang w:eastAsia="zh-CN"/>
        </w:rPr>
        <w:t>供应商：</w:t>
      </w:r>
      <w:r>
        <w:rPr>
          <w:rFonts w:hint="eastAsia" w:ascii="宋体" w:hAnsi="宋体" w:eastAsia="宋体" w:cs="宋体"/>
          <w:b/>
          <w:snapToGrid/>
          <w:color w:val="auto"/>
          <w:sz w:val="30"/>
          <w:szCs w:val="30"/>
          <w:u w:val="single"/>
          <w:lang w:eastAsia="zh-CN"/>
        </w:rPr>
        <w:t xml:space="preserve">                             </w:t>
      </w:r>
      <w:r>
        <w:rPr>
          <w:rFonts w:hint="eastAsia" w:ascii="宋体" w:hAnsi="宋体" w:eastAsia="宋体" w:cs="宋体"/>
          <w:b/>
          <w:snapToGrid/>
          <w:color w:val="auto"/>
          <w:sz w:val="30"/>
          <w:szCs w:val="30"/>
          <w:lang w:eastAsia="zh-CN"/>
        </w:rPr>
        <w:t>（盖单位章）</w:t>
      </w:r>
    </w:p>
    <w:p w14:paraId="4071133D">
      <w:pPr>
        <w:kinsoku/>
        <w:autoSpaceDE/>
        <w:autoSpaceDN/>
        <w:adjustRightInd/>
        <w:spacing w:line="480" w:lineRule="auto"/>
        <w:ind w:firstLine="602" w:firstLineChars="200"/>
        <w:textAlignment w:val="auto"/>
        <w:rPr>
          <w:rFonts w:ascii="宋体" w:hAnsi="宋体" w:eastAsia="宋体" w:cs="宋体"/>
          <w:b/>
          <w:snapToGrid/>
          <w:color w:val="auto"/>
          <w:sz w:val="30"/>
          <w:szCs w:val="30"/>
          <w:lang w:eastAsia="zh-CN"/>
        </w:rPr>
      </w:pPr>
      <w:r>
        <w:rPr>
          <w:rFonts w:hint="eastAsia" w:ascii="宋体" w:hAnsi="宋体" w:eastAsia="宋体" w:cs="宋体"/>
          <w:b/>
          <w:snapToGrid/>
          <w:color w:val="auto"/>
          <w:sz w:val="30"/>
          <w:szCs w:val="30"/>
          <w:lang w:eastAsia="zh-CN"/>
        </w:rPr>
        <w:t>法定代表人或其委托代理人：</w:t>
      </w:r>
      <w:r>
        <w:rPr>
          <w:rFonts w:hint="eastAsia" w:ascii="宋体" w:hAnsi="宋体" w:eastAsia="宋体" w:cs="宋体"/>
          <w:b/>
          <w:snapToGrid/>
          <w:color w:val="auto"/>
          <w:sz w:val="30"/>
          <w:szCs w:val="30"/>
          <w:u w:val="single"/>
          <w:lang w:eastAsia="zh-CN"/>
        </w:rPr>
        <w:t xml:space="preserve">            </w:t>
      </w:r>
      <w:r>
        <w:rPr>
          <w:rFonts w:hint="eastAsia" w:ascii="宋体" w:hAnsi="宋体" w:eastAsia="宋体" w:cs="宋体"/>
          <w:b/>
          <w:snapToGrid/>
          <w:color w:val="auto"/>
          <w:sz w:val="30"/>
          <w:szCs w:val="30"/>
          <w:lang w:eastAsia="zh-CN"/>
        </w:rPr>
        <w:t>（签字或盖章）</w:t>
      </w:r>
    </w:p>
    <w:p w14:paraId="6FF2E174">
      <w:pPr>
        <w:kinsoku/>
        <w:autoSpaceDE/>
        <w:autoSpaceDN/>
        <w:adjustRightInd/>
        <w:spacing w:line="480" w:lineRule="auto"/>
        <w:jc w:val="center"/>
        <w:textAlignment w:val="auto"/>
        <w:rPr>
          <w:rFonts w:ascii="宋体" w:hAnsi="宋体" w:eastAsia="宋体" w:cs="宋体"/>
          <w:b/>
          <w:snapToGrid/>
          <w:color w:val="auto"/>
          <w:sz w:val="30"/>
          <w:szCs w:val="30"/>
          <w:u w:val="single"/>
          <w:lang w:eastAsia="zh-CN"/>
        </w:rPr>
      </w:pPr>
      <w:r>
        <w:rPr>
          <w:rFonts w:hint="eastAsia" w:ascii="宋体" w:hAnsi="宋体" w:eastAsia="宋体" w:cs="宋体"/>
          <w:b/>
          <w:snapToGrid/>
          <w:color w:val="auto"/>
          <w:sz w:val="30"/>
          <w:szCs w:val="30"/>
          <w:lang w:eastAsia="zh-CN"/>
        </w:rPr>
        <w:t>年   月   日</w:t>
      </w:r>
    </w:p>
    <w:p w14:paraId="4229F112">
      <w:pPr>
        <w:spacing w:line="360" w:lineRule="auto"/>
        <w:rPr>
          <w:rFonts w:asciiTheme="minorEastAsia" w:hAnsiTheme="minorEastAsia"/>
          <w:color w:val="auto"/>
          <w:sz w:val="24"/>
          <w:szCs w:val="24"/>
          <w:lang w:eastAsia="zh-CN"/>
        </w:rPr>
      </w:pPr>
    </w:p>
    <w:p w14:paraId="49CEFCDD">
      <w:pPr>
        <w:spacing w:line="360" w:lineRule="auto"/>
        <w:rPr>
          <w:rFonts w:asciiTheme="minorEastAsia" w:hAnsiTheme="minorEastAsia"/>
          <w:color w:val="auto"/>
          <w:sz w:val="24"/>
          <w:szCs w:val="24"/>
          <w:lang w:eastAsia="zh-CN"/>
        </w:rPr>
      </w:pPr>
    </w:p>
    <w:p w14:paraId="44B50BCE">
      <w:pPr>
        <w:pStyle w:val="2"/>
        <w:rPr>
          <w:rFonts w:asciiTheme="minorEastAsia" w:hAnsiTheme="minorEastAsia"/>
          <w:color w:val="auto"/>
          <w:sz w:val="24"/>
          <w:szCs w:val="24"/>
          <w:lang w:eastAsia="zh-CN"/>
        </w:rPr>
      </w:pPr>
    </w:p>
    <w:p w14:paraId="2294FA01">
      <w:pPr>
        <w:pStyle w:val="4"/>
        <w:rPr>
          <w:rFonts w:asciiTheme="minorEastAsia" w:hAnsiTheme="minorEastAsia"/>
          <w:color w:val="auto"/>
          <w:sz w:val="24"/>
          <w:szCs w:val="24"/>
          <w:lang w:eastAsia="zh-CN"/>
        </w:rPr>
      </w:pPr>
    </w:p>
    <w:p w14:paraId="17EE7916">
      <w:pPr>
        <w:rPr>
          <w:rFonts w:asciiTheme="minorEastAsia" w:hAnsiTheme="minorEastAsia"/>
          <w:color w:val="auto"/>
          <w:sz w:val="24"/>
          <w:szCs w:val="24"/>
          <w:lang w:eastAsia="zh-CN"/>
        </w:rPr>
      </w:pPr>
    </w:p>
    <w:p w14:paraId="26DD483E">
      <w:pPr>
        <w:pStyle w:val="2"/>
        <w:rPr>
          <w:color w:val="auto"/>
          <w:lang w:eastAsia="zh-CN"/>
        </w:rPr>
      </w:pPr>
    </w:p>
    <w:p w14:paraId="43618943">
      <w:pPr>
        <w:spacing w:line="360" w:lineRule="auto"/>
        <w:jc w:val="center"/>
        <w:rPr>
          <w:rFonts w:hint="eastAsia" w:asciiTheme="minorEastAsia" w:hAnsiTheme="minorEastAsia"/>
          <w:color w:val="auto"/>
          <w:sz w:val="24"/>
          <w:szCs w:val="24"/>
          <w:lang w:eastAsia="zh-CN"/>
        </w:rPr>
      </w:pPr>
    </w:p>
    <w:p w14:paraId="68FFED0D">
      <w:pPr>
        <w:spacing w:line="360" w:lineRule="auto"/>
        <w:jc w:val="center"/>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响应文件目录</w:t>
      </w:r>
    </w:p>
    <w:p w14:paraId="329D6AF9">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一、报价函及报价函附录</w:t>
      </w:r>
    </w:p>
    <w:p w14:paraId="7A9EB971">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二、法定代表人身份证明或法定代表人授权委托书</w:t>
      </w:r>
    </w:p>
    <w:p w14:paraId="38CC454C">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三、响应承诺函</w:t>
      </w:r>
    </w:p>
    <w:p w14:paraId="5FAED590">
      <w:pPr>
        <w:spacing w:line="360" w:lineRule="auto"/>
        <w:rPr>
          <w:rFonts w:hint="eastAsia"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四、供应商资格证明文件</w:t>
      </w:r>
    </w:p>
    <w:p w14:paraId="0AF57A31">
      <w:pPr>
        <w:spacing w:line="360" w:lineRule="auto"/>
        <w:rPr>
          <w:color w:val="auto"/>
          <w:lang w:eastAsia="zh-CN"/>
        </w:rPr>
      </w:pPr>
      <w:r>
        <w:rPr>
          <w:rFonts w:hint="eastAsia" w:asciiTheme="minorEastAsia" w:hAnsiTheme="minorEastAsia"/>
          <w:color w:val="auto"/>
          <w:spacing w:val="7"/>
          <w:sz w:val="24"/>
          <w:szCs w:val="24"/>
          <w:lang w:eastAsia="zh-CN"/>
        </w:rPr>
        <w:t>五、项目报价表</w:t>
      </w:r>
    </w:p>
    <w:p w14:paraId="0E59D14F">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六、施工组织设计</w:t>
      </w:r>
    </w:p>
    <w:p w14:paraId="30890A49">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七、项目管理机构</w:t>
      </w:r>
    </w:p>
    <w:p w14:paraId="2A615834">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八、近年完成的类似项目情况表</w:t>
      </w:r>
    </w:p>
    <w:p w14:paraId="4D444597">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九、服务承诺</w:t>
      </w:r>
    </w:p>
    <w:p w14:paraId="5478C0A0">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十、反商业贿赂承诺书</w:t>
      </w:r>
    </w:p>
    <w:p w14:paraId="03392794">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十一、中小企业声明函</w:t>
      </w:r>
    </w:p>
    <w:p w14:paraId="70C38421">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十二、残疾人福利性单位声明函（如有）</w:t>
      </w:r>
    </w:p>
    <w:p w14:paraId="68516AC5">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十三、监狱企业证明材料（如有）</w:t>
      </w:r>
    </w:p>
    <w:p w14:paraId="00E8FBF3">
      <w:pPr>
        <w:spacing w:line="360" w:lineRule="auto"/>
        <w:rPr>
          <w:rFonts w:asciiTheme="minorEastAsia" w:hAnsiTheme="minorEastAsia"/>
          <w:color w:val="auto"/>
          <w:spacing w:val="7"/>
          <w:sz w:val="24"/>
          <w:szCs w:val="24"/>
          <w:lang w:eastAsia="zh-CN"/>
        </w:rPr>
      </w:pPr>
      <w:r>
        <w:rPr>
          <w:rFonts w:hint="eastAsia" w:asciiTheme="minorEastAsia" w:hAnsiTheme="minorEastAsia"/>
          <w:color w:val="auto"/>
          <w:spacing w:val="7"/>
          <w:sz w:val="24"/>
          <w:szCs w:val="24"/>
          <w:lang w:eastAsia="zh-CN"/>
        </w:rPr>
        <w:t>十四、其他资料</w:t>
      </w:r>
    </w:p>
    <w:p w14:paraId="505C4114">
      <w:pPr>
        <w:spacing w:line="360" w:lineRule="auto"/>
        <w:jc w:val="center"/>
        <w:rPr>
          <w:rFonts w:ascii="宋体" w:hAnsi="宋体" w:eastAsia="宋体"/>
          <w:b/>
          <w:color w:val="auto"/>
          <w:sz w:val="24"/>
          <w:szCs w:val="24"/>
          <w:lang w:eastAsia="zh-CN"/>
        </w:rPr>
      </w:pPr>
    </w:p>
    <w:p w14:paraId="373C95D4">
      <w:pPr>
        <w:spacing w:line="360" w:lineRule="auto"/>
        <w:jc w:val="center"/>
        <w:rPr>
          <w:rFonts w:ascii="宋体" w:hAnsi="宋体" w:eastAsia="宋体"/>
          <w:b/>
          <w:color w:val="auto"/>
          <w:sz w:val="24"/>
          <w:szCs w:val="24"/>
          <w:lang w:eastAsia="zh-CN"/>
        </w:rPr>
      </w:pPr>
    </w:p>
    <w:p w14:paraId="1D9A652F">
      <w:pPr>
        <w:spacing w:line="360" w:lineRule="auto"/>
        <w:jc w:val="center"/>
        <w:rPr>
          <w:rFonts w:ascii="宋体" w:hAnsi="宋体" w:eastAsia="宋体" w:cs="宋体"/>
          <w:b/>
          <w:color w:val="auto"/>
          <w:sz w:val="24"/>
          <w:szCs w:val="24"/>
          <w:lang w:eastAsia="zh-CN"/>
        </w:rPr>
      </w:pPr>
    </w:p>
    <w:p w14:paraId="04908126">
      <w:pPr>
        <w:spacing w:line="360" w:lineRule="auto"/>
        <w:jc w:val="center"/>
        <w:rPr>
          <w:rFonts w:ascii="宋体" w:hAnsi="宋体" w:eastAsia="宋体"/>
          <w:b/>
          <w:color w:val="auto"/>
          <w:sz w:val="24"/>
          <w:szCs w:val="24"/>
          <w:lang w:eastAsia="zh-CN"/>
        </w:rPr>
      </w:pPr>
    </w:p>
    <w:p w14:paraId="083DEF9D">
      <w:pPr>
        <w:spacing w:line="360" w:lineRule="auto"/>
        <w:jc w:val="center"/>
        <w:rPr>
          <w:rFonts w:ascii="宋体" w:hAnsi="宋体" w:eastAsia="宋体"/>
          <w:b/>
          <w:color w:val="auto"/>
          <w:sz w:val="24"/>
          <w:szCs w:val="24"/>
          <w:lang w:eastAsia="zh-CN"/>
        </w:rPr>
      </w:pPr>
    </w:p>
    <w:p w14:paraId="54F404F2">
      <w:pPr>
        <w:spacing w:line="360" w:lineRule="auto"/>
        <w:jc w:val="center"/>
        <w:rPr>
          <w:rFonts w:ascii="宋体" w:hAnsi="宋体" w:eastAsia="宋体"/>
          <w:b/>
          <w:color w:val="auto"/>
          <w:sz w:val="24"/>
          <w:szCs w:val="24"/>
          <w:lang w:eastAsia="zh-CN"/>
        </w:rPr>
      </w:pPr>
    </w:p>
    <w:p w14:paraId="579B1C2F">
      <w:pPr>
        <w:spacing w:line="360" w:lineRule="auto"/>
        <w:jc w:val="center"/>
        <w:rPr>
          <w:rFonts w:ascii="宋体" w:hAnsi="宋体" w:eastAsia="宋体"/>
          <w:b/>
          <w:color w:val="auto"/>
          <w:sz w:val="24"/>
          <w:szCs w:val="24"/>
          <w:lang w:eastAsia="zh-CN"/>
        </w:rPr>
      </w:pPr>
    </w:p>
    <w:p w14:paraId="2E1091FC">
      <w:pPr>
        <w:spacing w:line="360" w:lineRule="auto"/>
        <w:jc w:val="center"/>
        <w:rPr>
          <w:rFonts w:asciiTheme="minorEastAsia" w:hAnsiTheme="minorEastAsia"/>
          <w:b/>
          <w:color w:val="auto"/>
          <w:sz w:val="24"/>
          <w:szCs w:val="24"/>
          <w:lang w:eastAsia="zh-CN"/>
        </w:rPr>
      </w:pPr>
    </w:p>
    <w:p w14:paraId="031345C2">
      <w:pPr>
        <w:spacing w:line="360" w:lineRule="auto"/>
        <w:jc w:val="center"/>
        <w:rPr>
          <w:rFonts w:asciiTheme="minorEastAsia" w:hAnsiTheme="minorEastAsia"/>
          <w:b/>
          <w:color w:val="auto"/>
          <w:sz w:val="24"/>
          <w:szCs w:val="24"/>
          <w:lang w:eastAsia="zh-CN"/>
        </w:rPr>
      </w:pPr>
    </w:p>
    <w:p w14:paraId="40B17385">
      <w:pPr>
        <w:spacing w:line="360" w:lineRule="auto"/>
        <w:rPr>
          <w:rFonts w:asciiTheme="minorEastAsia" w:hAnsiTheme="minorEastAsia"/>
          <w:color w:val="auto"/>
          <w:sz w:val="24"/>
          <w:szCs w:val="24"/>
          <w:lang w:eastAsia="zh-CN"/>
        </w:rPr>
      </w:pPr>
    </w:p>
    <w:p w14:paraId="75506324">
      <w:pPr>
        <w:kinsoku/>
        <w:autoSpaceDE/>
        <w:autoSpaceDN/>
        <w:adjustRightInd/>
        <w:snapToGrid/>
        <w:textAlignment w:val="auto"/>
        <w:rPr>
          <w:rFonts w:asciiTheme="minorEastAsia" w:hAnsiTheme="minorEastAsia"/>
          <w:color w:val="auto"/>
          <w:sz w:val="24"/>
          <w:szCs w:val="24"/>
          <w:lang w:eastAsia="zh-CN"/>
        </w:rPr>
      </w:pPr>
      <w:r>
        <w:rPr>
          <w:rFonts w:asciiTheme="minorEastAsia" w:hAnsiTheme="minorEastAsia"/>
          <w:color w:val="auto"/>
          <w:sz w:val="24"/>
          <w:szCs w:val="24"/>
          <w:lang w:eastAsia="zh-CN"/>
        </w:rPr>
        <w:br w:type="page"/>
      </w:r>
    </w:p>
    <w:p w14:paraId="07726B4F">
      <w:pPr>
        <w:spacing w:line="360" w:lineRule="auto"/>
        <w:jc w:val="center"/>
        <w:rPr>
          <w:rFonts w:asciiTheme="minorEastAsia" w:hAnsiTheme="minorEastAsia"/>
          <w:b/>
          <w:color w:val="auto"/>
          <w:sz w:val="24"/>
          <w:szCs w:val="24"/>
          <w:lang w:eastAsia="zh-CN"/>
        </w:rPr>
      </w:pPr>
      <w:r>
        <w:rPr>
          <w:rFonts w:hint="eastAsia" w:asciiTheme="minorEastAsia" w:hAnsiTheme="minorEastAsia"/>
          <w:b/>
          <w:color w:val="auto"/>
          <w:sz w:val="24"/>
          <w:szCs w:val="24"/>
          <w:lang w:eastAsia="zh-CN"/>
        </w:rPr>
        <w:t>一、  报价函及报价函附录</w:t>
      </w:r>
    </w:p>
    <w:p w14:paraId="5EC53373">
      <w:pPr>
        <w:spacing w:line="360" w:lineRule="auto"/>
        <w:jc w:val="center"/>
        <w:rPr>
          <w:rFonts w:asciiTheme="minorEastAsia" w:hAnsiTheme="minorEastAsia"/>
          <w:b/>
          <w:color w:val="auto"/>
          <w:sz w:val="24"/>
          <w:szCs w:val="24"/>
          <w:lang w:eastAsia="zh-CN"/>
        </w:rPr>
      </w:pPr>
      <w:r>
        <w:rPr>
          <w:rFonts w:hint="eastAsia" w:asciiTheme="minorEastAsia" w:hAnsiTheme="minorEastAsia"/>
          <w:b/>
          <w:color w:val="auto"/>
          <w:sz w:val="24"/>
          <w:szCs w:val="24"/>
          <w:lang w:eastAsia="zh-CN"/>
        </w:rPr>
        <w:t>（一）报价函</w:t>
      </w:r>
    </w:p>
    <w:p w14:paraId="7940975F">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致：</w:t>
      </w:r>
      <w:r>
        <w:rPr>
          <w:rFonts w:hint="eastAsia" w:asciiTheme="minorEastAsia" w:hAnsiTheme="minorEastAsia"/>
          <w:color w:val="auto"/>
          <w:sz w:val="24"/>
          <w:szCs w:val="24"/>
          <w:u w:val="single"/>
          <w:lang w:eastAsia="zh-CN"/>
        </w:rPr>
        <w:t>（采购人）</w:t>
      </w:r>
    </w:p>
    <w:p w14:paraId="5A962247">
      <w:pPr>
        <w:keepNext w:val="0"/>
        <w:keepLines w:val="0"/>
        <w:pageBreakBefore w:val="0"/>
        <w:widowControl/>
        <w:kinsoku w:val="0"/>
        <w:wordWrap/>
        <w:overflowPunct/>
        <w:topLinePunct w:val="0"/>
        <w:autoSpaceDE w:val="0"/>
        <w:autoSpaceDN w:val="0"/>
        <w:bidi w:val="0"/>
        <w:adjustRightInd w:val="0"/>
        <w:snapToGrid w:val="0"/>
        <w:spacing w:line="360" w:lineRule="auto"/>
        <w:ind w:firstLine="470" w:firstLineChars="196"/>
        <w:textAlignment w:val="baseline"/>
        <w:rPr>
          <w:rFonts w:ascii="宋体" w:hAnsi="宋体"/>
          <w:color w:val="auto"/>
          <w:sz w:val="24"/>
        </w:rPr>
      </w:pPr>
      <w:r>
        <w:rPr>
          <w:rFonts w:hint="eastAsia" w:asciiTheme="minorEastAsia" w:hAnsiTheme="minorEastAsia"/>
          <w:color w:val="auto"/>
          <w:sz w:val="24"/>
          <w:szCs w:val="24"/>
          <w:lang w:eastAsia="zh-CN"/>
        </w:rPr>
        <w:t>1. 我方已仔细研究了</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（项目名称）采购项目自主磋商文件的全部内容，</w:t>
      </w:r>
      <w:r>
        <w:rPr>
          <w:rFonts w:hint="eastAsia" w:ascii="宋体" w:hAnsi="宋体"/>
          <w:color w:val="auto"/>
          <w:sz w:val="24"/>
        </w:rPr>
        <w:t>经详细研究，我们决定参加该项目的投标活动并投标，我们郑重声明以下诸点并负法律责任。</w:t>
      </w:r>
    </w:p>
    <w:p w14:paraId="6614B2B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cs="宋体"/>
          <w:color w:val="auto"/>
          <w:sz w:val="24"/>
          <w:u w:val="single"/>
        </w:rPr>
      </w:pPr>
      <w:r>
        <w:rPr>
          <w:rFonts w:hint="eastAsia" w:ascii="宋体" w:hAnsi="宋体" w:cs="宋体"/>
          <w:color w:val="auto"/>
          <w:sz w:val="24"/>
        </w:rPr>
        <w:t>愿按照</w:t>
      </w:r>
      <w:r>
        <w:rPr>
          <w:rFonts w:hint="eastAsia" w:ascii="宋体" w:hAnsi="宋体" w:cs="宋体"/>
          <w:bCs/>
          <w:color w:val="auto"/>
          <w:kern w:val="0"/>
          <w:sz w:val="24"/>
        </w:rPr>
        <w:t>竞争性磋商</w:t>
      </w:r>
      <w:r>
        <w:rPr>
          <w:rFonts w:hint="eastAsia" w:ascii="宋体" w:hAnsi="宋体" w:cs="宋体"/>
          <w:color w:val="auto"/>
          <w:sz w:val="24"/>
        </w:rPr>
        <w:t>文件中规定的条款和要求，提供完成</w:t>
      </w:r>
      <w:r>
        <w:rPr>
          <w:rFonts w:hint="eastAsia" w:ascii="宋体" w:hAnsi="宋体" w:cs="宋体"/>
          <w:bCs/>
          <w:color w:val="auto"/>
          <w:kern w:val="0"/>
          <w:sz w:val="24"/>
          <w:lang w:eastAsia="zh-CN"/>
        </w:rPr>
        <w:t>自主</w:t>
      </w:r>
      <w:r>
        <w:rPr>
          <w:rFonts w:hint="eastAsia" w:ascii="宋体" w:hAnsi="宋体" w:cs="宋体"/>
          <w:bCs/>
          <w:color w:val="auto"/>
          <w:kern w:val="0"/>
          <w:sz w:val="24"/>
        </w:rPr>
        <w:t>磋商</w:t>
      </w:r>
      <w:r>
        <w:rPr>
          <w:rFonts w:hint="eastAsia" w:ascii="宋体" w:hAnsi="宋体" w:cs="宋体"/>
          <w:color w:val="auto"/>
          <w:sz w:val="24"/>
        </w:rPr>
        <w:t>文件规定的全部工作，投标报价为 ：（大写）</w:t>
      </w:r>
      <w:r>
        <w:rPr>
          <w:rFonts w:hint="eastAsia" w:ascii="宋体" w:hAnsi="宋体" w:cs="宋体"/>
          <w:color w:val="auto"/>
          <w:sz w:val="24"/>
          <w:u w:val="single"/>
        </w:rPr>
        <w:t xml:space="preserve">            </w:t>
      </w:r>
      <w:r>
        <w:rPr>
          <w:rFonts w:hint="eastAsia" w:ascii="宋体" w:hAnsi="宋体" w:cs="宋体"/>
          <w:color w:val="auto"/>
          <w:sz w:val="24"/>
        </w:rPr>
        <w:t>，小写：</w:t>
      </w:r>
      <w:r>
        <w:rPr>
          <w:rFonts w:hint="eastAsia" w:ascii="宋体" w:hAnsi="宋体" w:cs="宋体"/>
          <w:color w:val="auto"/>
          <w:sz w:val="24"/>
          <w:u w:val="single"/>
        </w:rPr>
        <w:t xml:space="preserve">            </w:t>
      </w:r>
      <w:r>
        <w:rPr>
          <w:rFonts w:hint="eastAsia"/>
          <w:color w:val="auto"/>
          <w:sz w:val="26"/>
          <w:szCs w:val="26"/>
          <w:lang w:eastAsia="zh-CN"/>
        </w:rPr>
        <w:t>元</w:t>
      </w:r>
      <w:r>
        <w:rPr>
          <w:rFonts w:hint="eastAsia" w:ascii="宋体" w:hAnsi="宋体" w:cs="宋体"/>
          <w:color w:val="auto"/>
          <w:sz w:val="24"/>
        </w:rPr>
        <w:t>。</w:t>
      </w:r>
    </w:p>
    <w:p w14:paraId="0F8AA07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2.如果我方成交，我方将按自主磋商文件的规定签订并严格履行合同中的责任和义务，在签订合同时不向你方提出附加条件，按照自主磋商文件要求提交履约保证金，在合同约定的期限内完成合同规定的全部内容。</w:t>
      </w:r>
    </w:p>
    <w:p w14:paraId="41EAFCD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3.我方已详细审查全部自主磋商文件，包括修改文件以及全部参考资料和有关附件。我方完全理解并同意放弃对这方面有不明及误解的权力。</w:t>
      </w:r>
    </w:p>
    <w:p w14:paraId="3A56055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4.磋商有效期为提交首次响应文件的截止之日起90日历天。</w:t>
      </w:r>
    </w:p>
    <w:p w14:paraId="0611E29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5.我方在此声明，所递交的响应文件及有关资料内容完整、真实和准确，且不存在第二章“供应商须知”第 1.4.3 项规定的任何一种情形。</w:t>
      </w:r>
    </w:p>
    <w:p w14:paraId="4AE49A2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6.我方同意提供按照贵方可能要求的与其磋商有关的一切数据或资料，完全理解贵方不一定接受最低价的响应。</w:t>
      </w:r>
    </w:p>
    <w:p w14:paraId="368C269F">
      <w:pPr>
        <w:spacing w:line="360" w:lineRule="auto"/>
        <w:rPr>
          <w:rFonts w:asciiTheme="minorEastAsia" w:hAnsiTheme="minorEastAsia"/>
          <w:color w:val="auto"/>
          <w:sz w:val="24"/>
          <w:szCs w:val="24"/>
          <w:lang w:eastAsia="zh-CN"/>
        </w:rPr>
      </w:pPr>
    </w:p>
    <w:p w14:paraId="27616652">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地址：</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 xml:space="preserve">      项目负责人电话（手机号）：</w:t>
      </w:r>
      <w:r>
        <w:rPr>
          <w:rFonts w:hint="eastAsia" w:asciiTheme="minorEastAsia" w:hAnsiTheme="minorEastAsia"/>
          <w:color w:val="auto"/>
          <w:sz w:val="24"/>
          <w:szCs w:val="24"/>
          <w:u w:val="single"/>
          <w:lang w:eastAsia="zh-CN"/>
        </w:rPr>
        <w:t xml:space="preserve">            </w:t>
      </w:r>
    </w:p>
    <w:p w14:paraId="0563236B">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邮政编码：</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 xml:space="preserve">       邮箱：</w:t>
      </w:r>
      <w:r>
        <w:rPr>
          <w:rFonts w:hint="eastAsia" w:asciiTheme="minorEastAsia" w:hAnsiTheme="minorEastAsia"/>
          <w:color w:val="auto"/>
          <w:sz w:val="24"/>
          <w:szCs w:val="24"/>
          <w:u w:val="single"/>
          <w:lang w:eastAsia="zh-CN"/>
        </w:rPr>
        <w:t xml:space="preserve">            </w:t>
      </w:r>
    </w:p>
    <w:p w14:paraId="108B88D0">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供应商：</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（盖章）</w:t>
      </w:r>
    </w:p>
    <w:p w14:paraId="711F3FA9">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法定代表人或其委托代理人：</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（签字或盖章）</w:t>
      </w:r>
    </w:p>
    <w:p w14:paraId="5112549C">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日期：</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年</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月</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日</w:t>
      </w:r>
    </w:p>
    <w:p w14:paraId="29846DFC">
      <w:pPr>
        <w:spacing w:line="360" w:lineRule="auto"/>
        <w:rPr>
          <w:rFonts w:asciiTheme="minorEastAsia" w:hAnsiTheme="minorEastAsia"/>
          <w:color w:val="auto"/>
          <w:sz w:val="24"/>
          <w:szCs w:val="24"/>
          <w:lang w:eastAsia="zh-CN"/>
        </w:rPr>
      </w:pPr>
    </w:p>
    <w:p w14:paraId="729E8CCC">
      <w:pPr>
        <w:kinsoku/>
        <w:autoSpaceDE/>
        <w:autoSpaceDN/>
        <w:adjustRightInd/>
        <w:snapToGrid/>
        <w:textAlignment w:val="auto"/>
        <w:rPr>
          <w:rFonts w:asciiTheme="minorEastAsia" w:hAnsiTheme="minorEastAsia"/>
          <w:color w:val="auto"/>
          <w:sz w:val="24"/>
          <w:szCs w:val="24"/>
          <w:lang w:eastAsia="zh-CN"/>
        </w:rPr>
      </w:pPr>
      <w:r>
        <w:rPr>
          <w:rFonts w:asciiTheme="minorEastAsia" w:hAnsiTheme="minorEastAsia"/>
          <w:color w:val="auto"/>
          <w:sz w:val="24"/>
          <w:szCs w:val="24"/>
          <w:lang w:eastAsia="zh-CN"/>
        </w:rPr>
        <w:br w:type="page"/>
      </w:r>
    </w:p>
    <w:p w14:paraId="2A01269E">
      <w:pPr>
        <w:pStyle w:val="8"/>
        <w:spacing w:before="78" w:line="360" w:lineRule="auto"/>
        <w:ind w:left="3096"/>
        <w:outlineLvl w:val="2"/>
        <w:rPr>
          <w:rFonts w:ascii="宋体" w:hAnsi="宋体" w:eastAsia="宋体"/>
          <w:b/>
          <w:color w:val="auto"/>
          <w:sz w:val="24"/>
          <w:szCs w:val="24"/>
          <w:lang w:eastAsia="zh-CN"/>
        </w:rPr>
      </w:pPr>
      <w:bookmarkStart w:id="550" w:name="_Toc152153256"/>
      <w:bookmarkStart w:id="551" w:name="_Toc154389367"/>
      <w:bookmarkStart w:id="552" w:name="_Toc152079661"/>
      <w:bookmarkStart w:id="553" w:name="_Toc9061"/>
      <w:r>
        <w:rPr>
          <w:rFonts w:ascii="宋体" w:hAnsi="宋体" w:eastAsia="宋体"/>
          <w:b/>
          <w:color w:val="auto"/>
          <w:spacing w:val="-1"/>
          <w:sz w:val="24"/>
          <w:szCs w:val="24"/>
          <w:lang w:eastAsia="zh-CN"/>
        </w:rPr>
        <w:t>（二）报价函附录（第一轮报价）</w:t>
      </w:r>
      <w:bookmarkEnd w:id="550"/>
      <w:bookmarkEnd w:id="551"/>
      <w:bookmarkEnd w:id="552"/>
      <w:bookmarkEnd w:id="553"/>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71"/>
        <w:gridCol w:w="1114"/>
        <w:gridCol w:w="1408"/>
        <w:gridCol w:w="1690"/>
        <w:gridCol w:w="1126"/>
        <w:gridCol w:w="1330"/>
      </w:tblGrid>
      <w:tr w14:paraId="6010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exact"/>
        </w:trPr>
        <w:tc>
          <w:tcPr>
            <w:tcW w:w="1571" w:type="dxa"/>
            <w:vAlign w:val="center"/>
          </w:tcPr>
          <w:p w14:paraId="25E66C28">
            <w:pPr>
              <w:widowControl w:val="0"/>
              <w:kinsoku/>
              <w:snapToGrid/>
              <w:spacing w:line="360" w:lineRule="auto"/>
              <w:jc w:val="center"/>
              <w:textAlignment w:val="auto"/>
              <w:rPr>
                <w:rFonts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项目名称</w:t>
            </w:r>
          </w:p>
        </w:tc>
        <w:tc>
          <w:tcPr>
            <w:tcW w:w="6668" w:type="dxa"/>
            <w:gridSpan w:val="5"/>
            <w:vAlign w:val="center"/>
          </w:tcPr>
          <w:p w14:paraId="046F761A">
            <w:pPr>
              <w:widowControl w:val="0"/>
              <w:kinsoku/>
              <w:snapToGrid/>
              <w:spacing w:line="360" w:lineRule="auto"/>
              <w:textAlignment w:val="auto"/>
              <w:rPr>
                <w:rFonts w:ascii="宋体" w:hAnsi="宋体" w:eastAsia="宋体" w:cs="黑体"/>
                <w:snapToGrid/>
                <w:color w:val="auto"/>
                <w:sz w:val="24"/>
                <w:szCs w:val="24"/>
                <w:u w:val="single"/>
                <w:lang w:eastAsia="zh-CN"/>
              </w:rPr>
            </w:pPr>
            <w:r>
              <w:rPr>
                <w:rFonts w:hint="eastAsia" w:ascii="宋体" w:hAnsi="宋体" w:eastAsia="宋体" w:cs="黑体"/>
                <w:snapToGrid/>
                <w:color w:val="auto"/>
                <w:sz w:val="24"/>
                <w:szCs w:val="24"/>
                <w:lang w:eastAsia="zh-CN"/>
              </w:rPr>
              <w:t>（项目名称）</w:t>
            </w:r>
          </w:p>
        </w:tc>
      </w:tr>
      <w:tr w14:paraId="408C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7" w:hRule="exact"/>
        </w:trPr>
        <w:tc>
          <w:tcPr>
            <w:tcW w:w="1571" w:type="dxa"/>
            <w:vAlign w:val="center"/>
          </w:tcPr>
          <w:p w14:paraId="10C6A85F">
            <w:pPr>
              <w:widowControl w:val="0"/>
              <w:kinsoku/>
              <w:snapToGrid/>
              <w:spacing w:line="360" w:lineRule="auto"/>
              <w:jc w:val="center"/>
              <w:textAlignment w:val="auto"/>
              <w:rPr>
                <w:rFonts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投标报价</w:t>
            </w:r>
          </w:p>
        </w:tc>
        <w:tc>
          <w:tcPr>
            <w:tcW w:w="6668" w:type="dxa"/>
            <w:gridSpan w:val="5"/>
            <w:vAlign w:val="center"/>
          </w:tcPr>
          <w:p w14:paraId="6DA04B11">
            <w:pPr>
              <w:widowControl w:val="0"/>
              <w:kinsoku/>
              <w:autoSpaceDE/>
              <w:autoSpaceDN/>
              <w:spacing w:line="400" w:lineRule="exact"/>
              <w:jc w:val="both"/>
              <w:textAlignment w:val="auto"/>
              <w:rPr>
                <w:rFonts w:hint="eastAsia" w:ascii="宋体" w:hAnsi="宋体" w:eastAsia="宋体" w:cs="Times New Roman"/>
                <w:snapToGrid/>
                <w:color w:val="auto"/>
                <w:kern w:val="2"/>
                <w:sz w:val="24"/>
                <w:szCs w:val="24"/>
                <w:lang w:val="en-US" w:eastAsia="zh-CN"/>
              </w:rPr>
            </w:pPr>
            <w:r>
              <w:rPr>
                <w:rFonts w:hint="eastAsia" w:ascii="宋体" w:hAnsi="宋体" w:eastAsia="宋体" w:cs="Times New Roman"/>
                <w:snapToGrid/>
                <w:color w:val="auto"/>
                <w:kern w:val="2"/>
                <w:sz w:val="24"/>
                <w:szCs w:val="24"/>
                <w:lang w:val="en-US" w:eastAsia="zh-CN"/>
              </w:rPr>
              <w:t>1.总价</w:t>
            </w:r>
          </w:p>
          <w:p w14:paraId="3E182BB4">
            <w:pPr>
              <w:widowControl w:val="0"/>
              <w:kinsoku/>
              <w:autoSpaceDE/>
              <w:autoSpaceDN/>
              <w:spacing w:line="400" w:lineRule="exact"/>
              <w:jc w:val="both"/>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大写：</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p>
          <w:p w14:paraId="217D3684">
            <w:pPr>
              <w:widowControl w:val="0"/>
              <w:kinsoku/>
              <w:autoSpaceDE/>
              <w:autoSpaceDN/>
              <w:spacing w:line="400" w:lineRule="exact"/>
              <w:jc w:val="both"/>
              <w:textAlignment w:val="auto"/>
              <w:rPr>
                <w:rFonts w:hint="eastAsia" w:ascii="宋体" w:hAnsi="宋体" w:eastAsia="宋体" w:cs="Times New Roman"/>
                <w:snapToGrid/>
                <w:color w:val="auto"/>
                <w:kern w:val="2"/>
                <w:sz w:val="24"/>
                <w:szCs w:val="24"/>
                <w:u w:val="none"/>
                <w:lang w:val="en-US" w:eastAsia="zh-CN"/>
              </w:rPr>
            </w:pPr>
            <w:r>
              <w:rPr>
                <w:rFonts w:hint="eastAsia" w:ascii="宋体" w:hAnsi="宋体" w:eastAsia="宋体" w:cs="Times New Roman"/>
                <w:snapToGrid/>
                <w:color w:val="auto"/>
                <w:kern w:val="2"/>
                <w:sz w:val="24"/>
                <w:szCs w:val="24"/>
                <w:lang w:eastAsia="zh-CN"/>
              </w:rPr>
              <w:t>小写：</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val="en-US"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none"/>
                <w:lang w:eastAsia="zh-CN"/>
              </w:rPr>
              <w:t xml:space="preserve"> </w:t>
            </w:r>
            <w:r>
              <w:rPr>
                <w:rFonts w:hint="eastAsia" w:ascii="宋体" w:hAnsi="宋体" w:eastAsia="宋体" w:cs="Times New Roman"/>
                <w:snapToGrid/>
                <w:color w:val="auto"/>
                <w:kern w:val="2"/>
                <w:sz w:val="24"/>
                <w:szCs w:val="24"/>
                <w:u w:val="none"/>
                <w:lang w:val="en-US" w:eastAsia="zh-CN"/>
              </w:rPr>
              <w:t xml:space="preserve"> </w:t>
            </w:r>
          </w:p>
          <w:p w14:paraId="242EAFCC">
            <w:pPr>
              <w:pStyle w:val="2"/>
              <w:rPr>
                <w:rFonts w:hint="eastAsia" w:ascii="宋体" w:hAnsi="宋体" w:cs="Times New Roman"/>
                <w:snapToGrid/>
                <w:color w:val="auto"/>
                <w:kern w:val="2"/>
                <w:sz w:val="24"/>
                <w:szCs w:val="24"/>
                <w:u w:val="none"/>
                <w:lang w:val="en-US" w:eastAsia="zh-CN"/>
              </w:rPr>
            </w:pPr>
            <w:r>
              <w:rPr>
                <w:rFonts w:hint="eastAsia" w:ascii="宋体" w:hAnsi="宋体" w:cs="Times New Roman"/>
                <w:snapToGrid/>
                <w:color w:val="auto"/>
                <w:kern w:val="2"/>
                <w:sz w:val="24"/>
                <w:szCs w:val="24"/>
                <w:u w:val="none"/>
                <w:lang w:val="en-US" w:eastAsia="zh-CN"/>
              </w:rPr>
              <w:t>2.平方单价</w:t>
            </w:r>
          </w:p>
          <w:p w14:paraId="7E7CFE70">
            <w:pPr>
              <w:widowControl w:val="0"/>
              <w:kinsoku/>
              <w:autoSpaceDE/>
              <w:autoSpaceDN/>
              <w:spacing w:line="400" w:lineRule="exact"/>
              <w:jc w:val="both"/>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大写：</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p>
          <w:p w14:paraId="54EE7025">
            <w:pPr>
              <w:widowControl w:val="0"/>
              <w:kinsoku/>
              <w:autoSpaceDE/>
              <w:autoSpaceDN/>
              <w:spacing w:line="400" w:lineRule="exact"/>
              <w:jc w:val="both"/>
              <w:textAlignment w:val="auto"/>
              <w:rPr>
                <w:rFonts w:hint="eastAsia" w:ascii="宋体" w:hAnsi="宋体" w:eastAsia="宋体" w:cs="Times New Roman"/>
                <w:snapToGrid/>
                <w:color w:val="auto"/>
                <w:kern w:val="2"/>
                <w:sz w:val="24"/>
                <w:szCs w:val="24"/>
                <w:u w:val="none"/>
                <w:lang w:val="en-US" w:eastAsia="zh-CN"/>
              </w:rPr>
            </w:pPr>
            <w:r>
              <w:rPr>
                <w:rFonts w:hint="eastAsia" w:ascii="宋体" w:hAnsi="宋体" w:eastAsia="宋体" w:cs="Times New Roman"/>
                <w:snapToGrid/>
                <w:color w:val="auto"/>
                <w:kern w:val="2"/>
                <w:sz w:val="24"/>
                <w:szCs w:val="24"/>
                <w:lang w:eastAsia="zh-CN"/>
              </w:rPr>
              <w:t>小写：</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val="en-US"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none"/>
                <w:lang w:eastAsia="zh-CN"/>
              </w:rPr>
              <w:t xml:space="preserve"> </w:t>
            </w:r>
            <w:r>
              <w:rPr>
                <w:rFonts w:hint="eastAsia" w:ascii="宋体" w:hAnsi="宋体" w:eastAsia="宋体" w:cs="Times New Roman"/>
                <w:snapToGrid/>
                <w:color w:val="auto"/>
                <w:kern w:val="2"/>
                <w:sz w:val="24"/>
                <w:szCs w:val="24"/>
                <w:u w:val="none"/>
                <w:lang w:val="en-US" w:eastAsia="zh-CN"/>
              </w:rPr>
              <w:t xml:space="preserve"> </w:t>
            </w:r>
          </w:p>
          <w:p w14:paraId="253160E8">
            <w:pPr>
              <w:pStyle w:val="4"/>
              <w:rPr>
                <w:rFonts w:hint="default"/>
                <w:color w:val="auto"/>
                <w:lang w:val="en-US" w:eastAsia="zh-CN"/>
              </w:rPr>
            </w:pPr>
          </w:p>
          <w:p w14:paraId="743F8107">
            <w:pPr>
              <w:widowControl w:val="0"/>
              <w:kinsoku/>
              <w:autoSpaceDE/>
              <w:autoSpaceDN/>
              <w:spacing w:line="400" w:lineRule="exact"/>
              <w:jc w:val="both"/>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u w:val="none"/>
                <w:lang w:eastAsia="zh-CN"/>
              </w:rPr>
              <w:t xml:space="preserve"> </w:t>
            </w:r>
          </w:p>
        </w:tc>
      </w:tr>
      <w:tr w14:paraId="2CCF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exact"/>
        </w:trPr>
        <w:tc>
          <w:tcPr>
            <w:tcW w:w="1571" w:type="dxa"/>
            <w:vAlign w:val="center"/>
          </w:tcPr>
          <w:p w14:paraId="1DC4518C">
            <w:pPr>
              <w:widowControl w:val="0"/>
              <w:kinsoku/>
              <w:snapToGrid/>
              <w:spacing w:line="360" w:lineRule="auto"/>
              <w:jc w:val="center"/>
              <w:textAlignment w:val="auto"/>
              <w:rPr>
                <w:rFonts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投标内容</w:t>
            </w:r>
          </w:p>
        </w:tc>
        <w:tc>
          <w:tcPr>
            <w:tcW w:w="6668" w:type="dxa"/>
            <w:gridSpan w:val="5"/>
            <w:vAlign w:val="center"/>
          </w:tcPr>
          <w:p w14:paraId="0B0C6B65">
            <w:pPr>
              <w:widowControl w:val="0"/>
              <w:kinsoku/>
              <w:snapToGrid/>
              <w:spacing w:line="360" w:lineRule="auto"/>
              <w:jc w:val="both"/>
              <w:textAlignment w:val="auto"/>
              <w:rPr>
                <w:rFonts w:ascii="宋体" w:hAnsi="宋体" w:eastAsia="宋体" w:cs="黑体"/>
                <w:snapToGrid/>
                <w:color w:val="auto"/>
                <w:sz w:val="24"/>
                <w:szCs w:val="24"/>
                <w:lang w:eastAsia="zh-CN"/>
              </w:rPr>
            </w:pPr>
          </w:p>
        </w:tc>
      </w:tr>
      <w:tr w14:paraId="016E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exact"/>
        </w:trPr>
        <w:tc>
          <w:tcPr>
            <w:tcW w:w="1571" w:type="dxa"/>
            <w:vAlign w:val="center"/>
          </w:tcPr>
          <w:p w14:paraId="493A4D82">
            <w:pPr>
              <w:widowControl w:val="0"/>
              <w:kinsoku/>
              <w:snapToGrid/>
              <w:spacing w:line="360" w:lineRule="auto"/>
              <w:jc w:val="center"/>
              <w:textAlignment w:val="auto"/>
              <w:rPr>
                <w:rFonts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工期</w:t>
            </w:r>
          </w:p>
        </w:tc>
        <w:tc>
          <w:tcPr>
            <w:tcW w:w="6668" w:type="dxa"/>
            <w:gridSpan w:val="5"/>
            <w:vAlign w:val="center"/>
          </w:tcPr>
          <w:p w14:paraId="228B43C8">
            <w:pPr>
              <w:widowControl w:val="0"/>
              <w:kinsoku/>
              <w:snapToGrid/>
              <w:spacing w:line="360" w:lineRule="auto"/>
              <w:jc w:val="center"/>
              <w:textAlignment w:val="auto"/>
              <w:rPr>
                <w:rFonts w:ascii="宋体" w:hAnsi="宋体" w:eastAsia="宋体" w:cs="黑体"/>
                <w:snapToGrid/>
                <w:color w:val="auto"/>
                <w:sz w:val="24"/>
                <w:szCs w:val="24"/>
                <w:lang w:eastAsia="zh-CN"/>
              </w:rPr>
            </w:pPr>
          </w:p>
        </w:tc>
      </w:tr>
      <w:tr w14:paraId="72FA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exact"/>
        </w:trPr>
        <w:tc>
          <w:tcPr>
            <w:tcW w:w="1571" w:type="dxa"/>
            <w:vAlign w:val="center"/>
          </w:tcPr>
          <w:p w14:paraId="587C1A29">
            <w:pPr>
              <w:widowControl w:val="0"/>
              <w:kinsoku/>
              <w:snapToGrid/>
              <w:spacing w:line="360" w:lineRule="auto"/>
              <w:jc w:val="center"/>
              <w:textAlignment w:val="auto"/>
              <w:rPr>
                <w:rFonts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质量要求</w:t>
            </w:r>
          </w:p>
        </w:tc>
        <w:tc>
          <w:tcPr>
            <w:tcW w:w="6668" w:type="dxa"/>
            <w:gridSpan w:val="5"/>
            <w:vAlign w:val="center"/>
          </w:tcPr>
          <w:p w14:paraId="00ED3404">
            <w:pPr>
              <w:widowControl w:val="0"/>
              <w:kinsoku/>
              <w:snapToGrid/>
              <w:spacing w:line="360" w:lineRule="auto"/>
              <w:jc w:val="center"/>
              <w:textAlignment w:val="auto"/>
              <w:rPr>
                <w:rFonts w:ascii="宋体" w:hAnsi="宋体" w:eastAsia="宋体" w:cs="黑体"/>
                <w:snapToGrid/>
                <w:color w:val="auto"/>
                <w:sz w:val="24"/>
                <w:szCs w:val="24"/>
                <w:lang w:eastAsia="zh-CN"/>
              </w:rPr>
            </w:pPr>
          </w:p>
        </w:tc>
      </w:tr>
      <w:tr w14:paraId="62C5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exact"/>
        </w:trPr>
        <w:tc>
          <w:tcPr>
            <w:tcW w:w="1571" w:type="dxa"/>
            <w:vAlign w:val="center"/>
          </w:tcPr>
          <w:p w14:paraId="2D4C3158">
            <w:pPr>
              <w:widowControl w:val="0"/>
              <w:kinsoku/>
              <w:snapToGrid/>
              <w:spacing w:line="360" w:lineRule="auto"/>
              <w:jc w:val="center"/>
              <w:textAlignment w:val="auto"/>
              <w:rPr>
                <w:rFonts w:hint="eastAsia"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保修期</w:t>
            </w:r>
          </w:p>
        </w:tc>
        <w:tc>
          <w:tcPr>
            <w:tcW w:w="6668" w:type="dxa"/>
            <w:gridSpan w:val="5"/>
            <w:vAlign w:val="center"/>
          </w:tcPr>
          <w:p w14:paraId="70AD1908">
            <w:pPr>
              <w:widowControl w:val="0"/>
              <w:kinsoku/>
              <w:snapToGrid/>
              <w:spacing w:line="360" w:lineRule="auto"/>
              <w:jc w:val="center"/>
              <w:textAlignment w:val="auto"/>
              <w:rPr>
                <w:rFonts w:ascii="宋体" w:hAnsi="宋体" w:eastAsia="宋体" w:cs="黑体"/>
                <w:snapToGrid/>
                <w:color w:val="auto"/>
                <w:sz w:val="24"/>
                <w:szCs w:val="24"/>
                <w:lang w:eastAsia="zh-CN"/>
              </w:rPr>
            </w:pPr>
          </w:p>
        </w:tc>
      </w:tr>
      <w:tr w14:paraId="0B11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exact"/>
        </w:trPr>
        <w:tc>
          <w:tcPr>
            <w:tcW w:w="1571" w:type="dxa"/>
            <w:vAlign w:val="center"/>
          </w:tcPr>
          <w:p w14:paraId="3270A63F">
            <w:pPr>
              <w:widowControl w:val="0"/>
              <w:kinsoku/>
              <w:snapToGrid/>
              <w:spacing w:line="360" w:lineRule="auto"/>
              <w:jc w:val="center"/>
              <w:textAlignment w:val="auto"/>
              <w:rPr>
                <w:rFonts w:hint="eastAsia" w:ascii="宋体" w:hAnsi="宋体" w:eastAsia="宋体" w:cs="黑体"/>
                <w:snapToGrid/>
                <w:color w:val="auto"/>
                <w:sz w:val="24"/>
                <w:szCs w:val="24"/>
                <w:lang w:eastAsia="zh-CN"/>
              </w:rPr>
            </w:pPr>
            <w:r>
              <w:rPr>
                <w:rFonts w:hint="eastAsia" w:ascii="宋体" w:hAnsi="宋体" w:cs="黑体"/>
                <w:color w:val="auto"/>
                <w:sz w:val="24"/>
              </w:rPr>
              <w:t>工程施工要求</w:t>
            </w:r>
          </w:p>
        </w:tc>
        <w:tc>
          <w:tcPr>
            <w:tcW w:w="6668" w:type="dxa"/>
            <w:gridSpan w:val="5"/>
            <w:vAlign w:val="center"/>
          </w:tcPr>
          <w:p w14:paraId="21F5FA26">
            <w:pPr>
              <w:widowControl w:val="0"/>
              <w:kinsoku/>
              <w:snapToGrid/>
              <w:spacing w:line="360" w:lineRule="auto"/>
              <w:jc w:val="center"/>
              <w:textAlignment w:val="auto"/>
              <w:rPr>
                <w:rFonts w:ascii="宋体" w:hAnsi="宋体" w:eastAsia="宋体" w:cs="黑体"/>
                <w:snapToGrid/>
                <w:color w:val="auto"/>
                <w:sz w:val="24"/>
                <w:szCs w:val="24"/>
                <w:lang w:eastAsia="zh-CN"/>
              </w:rPr>
            </w:pPr>
          </w:p>
        </w:tc>
      </w:tr>
      <w:tr w14:paraId="62F9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exact"/>
        </w:trPr>
        <w:tc>
          <w:tcPr>
            <w:tcW w:w="1571" w:type="dxa"/>
            <w:vAlign w:val="center"/>
          </w:tcPr>
          <w:p w14:paraId="26FA7F42">
            <w:pPr>
              <w:widowControl w:val="0"/>
              <w:kinsoku/>
              <w:snapToGrid/>
              <w:spacing w:line="360" w:lineRule="auto"/>
              <w:jc w:val="center"/>
              <w:textAlignment w:val="auto"/>
              <w:rPr>
                <w:rFonts w:hint="eastAsia"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投标有效期</w:t>
            </w:r>
          </w:p>
        </w:tc>
        <w:tc>
          <w:tcPr>
            <w:tcW w:w="6668" w:type="dxa"/>
            <w:gridSpan w:val="5"/>
            <w:vAlign w:val="center"/>
          </w:tcPr>
          <w:p w14:paraId="589B3883">
            <w:pPr>
              <w:widowControl w:val="0"/>
              <w:kinsoku/>
              <w:snapToGrid/>
              <w:spacing w:line="360" w:lineRule="auto"/>
              <w:jc w:val="center"/>
              <w:textAlignment w:val="auto"/>
              <w:rPr>
                <w:rFonts w:ascii="宋体" w:hAnsi="宋体" w:eastAsia="宋体" w:cs="黑体"/>
                <w:snapToGrid/>
                <w:color w:val="auto"/>
                <w:sz w:val="24"/>
                <w:szCs w:val="24"/>
                <w:lang w:eastAsia="zh-CN"/>
              </w:rPr>
            </w:pPr>
          </w:p>
        </w:tc>
      </w:tr>
      <w:tr w14:paraId="0E51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exact"/>
        </w:trPr>
        <w:tc>
          <w:tcPr>
            <w:tcW w:w="1571" w:type="dxa"/>
            <w:vAlign w:val="center"/>
          </w:tcPr>
          <w:p w14:paraId="11EEA573">
            <w:pPr>
              <w:spacing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权利义务</w:t>
            </w:r>
          </w:p>
        </w:tc>
        <w:tc>
          <w:tcPr>
            <w:tcW w:w="6668" w:type="dxa"/>
            <w:gridSpan w:val="5"/>
            <w:vAlign w:val="center"/>
          </w:tcPr>
          <w:p w14:paraId="74BA4432">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符合磋商文件第四章</w:t>
            </w:r>
            <w:r>
              <w:rPr>
                <w:rFonts w:asciiTheme="minorEastAsia" w:hAnsiTheme="minorEastAsia"/>
                <w:color w:val="auto"/>
                <w:sz w:val="24"/>
                <w:szCs w:val="24"/>
                <w:lang w:eastAsia="zh-CN"/>
              </w:rPr>
              <w:t>“</w:t>
            </w:r>
            <w:r>
              <w:rPr>
                <w:rFonts w:hint="eastAsia" w:asciiTheme="minorEastAsia" w:hAnsiTheme="minorEastAsia"/>
                <w:color w:val="auto"/>
                <w:sz w:val="24"/>
                <w:szCs w:val="24"/>
                <w:lang w:eastAsia="zh-CN"/>
              </w:rPr>
              <w:t>合同条款及格式</w:t>
            </w:r>
            <w:r>
              <w:rPr>
                <w:rFonts w:asciiTheme="minorEastAsia" w:hAnsiTheme="minorEastAsia"/>
                <w:color w:val="auto"/>
                <w:sz w:val="24"/>
                <w:szCs w:val="24"/>
                <w:lang w:eastAsia="zh-CN"/>
              </w:rPr>
              <w:t>”</w:t>
            </w:r>
            <w:r>
              <w:rPr>
                <w:rFonts w:hint="eastAsia" w:asciiTheme="minorEastAsia" w:hAnsiTheme="minorEastAsia"/>
                <w:color w:val="auto"/>
                <w:sz w:val="24"/>
                <w:szCs w:val="24"/>
                <w:lang w:eastAsia="zh-CN"/>
              </w:rPr>
              <w:t>规定</w:t>
            </w:r>
          </w:p>
        </w:tc>
      </w:tr>
      <w:tr w14:paraId="792C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exact"/>
        </w:trPr>
        <w:tc>
          <w:tcPr>
            <w:tcW w:w="1571" w:type="dxa"/>
            <w:vAlign w:val="center"/>
          </w:tcPr>
          <w:p w14:paraId="453CCA24">
            <w:pPr>
              <w:spacing w:line="360" w:lineRule="auto"/>
              <w:jc w:val="center"/>
              <w:rPr>
                <w:rFonts w:ascii="宋体" w:hAnsi="宋体" w:eastAsia="宋体" w:cs="宋体"/>
                <w:color w:val="auto"/>
                <w:spacing w:val="-5"/>
                <w:sz w:val="24"/>
                <w:szCs w:val="24"/>
              </w:rPr>
            </w:pPr>
            <w:r>
              <w:rPr>
                <w:rFonts w:hint="eastAsia" w:ascii="宋体" w:hAnsi="宋体" w:eastAsia="宋体" w:cs="宋体"/>
                <w:color w:val="auto"/>
                <w:spacing w:val="-5"/>
                <w:sz w:val="24"/>
                <w:szCs w:val="24"/>
              </w:rPr>
              <w:t>技术标准和要求</w:t>
            </w:r>
          </w:p>
        </w:tc>
        <w:tc>
          <w:tcPr>
            <w:tcW w:w="6668" w:type="dxa"/>
            <w:gridSpan w:val="5"/>
            <w:vAlign w:val="center"/>
          </w:tcPr>
          <w:p w14:paraId="5BCF8E24">
            <w:pPr>
              <w:spacing w:line="360" w:lineRule="auto"/>
              <w:rPr>
                <w:rFonts w:ascii="宋体" w:hAnsi="宋体" w:eastAsia="宋体" w:cs="宋体"/>
                <w:color w:val="auto"/>
                <w:spacing w:val="-5"/>
                <w:sz w:val="24"/>
                <w:szCs w:val="24"/>
                <w:lang w:eastAsia="zh-CN"/>
              </w:rPr>
            </w:pPr>
            <w:r>
              <w:rPr>
                <w:rFonts w:hint="eastAsia" w:asciiTheme="minorEastAsia" w:hAnsiTheme="minorEastAsia"/>
                <w:color w:val="auto"/>
                <w:sz w:val="24"/>
                <w:szCs w:val="24"/>
                <w:lang w:eastAsia="zh-CN"/>
              </w:rPr>
              <w:t>符合磋商文件第五章</w:t>
            </w:r>
            <w:r>
              <w:rPr>
                <w:rFonts w:asciiTheme="minorEastAsia" w:hAnsiTheme="minorEastAsia"/>
                <w:color w:val="auto"/>
                <w:sz w:val="24"/>
                <w:szCs w:val="24"/>
                <w:lang w:eastAsia="zh-CN"/>
              </w:rPr>
              <w:t>“</w:t>
            </w:r>
            <w:r>
              <w:rPr>
                <w:rFonts w:hint="eastAsia" w:asciiTheme="minorEastAsia" w:hAnsiTheme="minorEastAsia"/>
                <w:color w:val="auto"/>
                <w:sz w:val="24"/>
                <w:szCs w:val="24"/>
                <w:lang w:eastAsia="zh-CN"/>
              </w:rPr>
              <w:t>项目技术标准及要求</w:t>
            </w:r>
            <w:r>
              <w:rPr>
                <w:rFonts w:asciiTheme="minorEastAsia" w:hAnsiTheme="minorEastAsia"/>
                <w:color w:val="auto"/>
                <w:sz w:val="24"/>
                <w:szCs w:val="24"/>
                <w:lang w:eastAsia="zh-CN"/>
              </w:rPr>
              <w:t>”</w:t>
            </w:r>
            <w:r>
              <w:rPr>
                <w:rFonts w:hint="eastAsia" w:asciiTheme="minorEastAsia" w:hAnsiTheme="minorEastAsia"/>
                <w:color w:val="auto"/>
                <w:sz w:val="24"/>
                <w:szCs w:val="24"/>
                <w:lang w:eastAsia="zh-CN"/>
              </w:rPr>
              <w:t>规定</w:t>
            </w:r>
          </w:p>
        </w:tc>
      </w:tr>
      <w:tr w14:paraId="468A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exact"/>
        </w:trPr>
        <w:tc>
          <w:tcPr>
            <w:tcW w:w="1571" w:type="dxa"/>
            <w:vAlign w:val="center"/>
          </w:tcPr>
          <w:p w14:paraId="79BF2977">
            <w:pPr>
              <w:widowControl w:val="0"/>
              <w:kinsoku/>
              <w:snapToGrid/>
              <w:spacing w:line="360" w:lineRule="auto"/>
              <w:jc w:val="center"/>
              <w:textAlignment w:val="auto"/>
              <w:rPr>
                <w:rFonts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项目经理</w:t>
            </w:r>
          </w:p>
        </w:tc>
        <w:tc>
          <w:tcPr>
            <w:tcW w:w="1114" w:type="dxa"/>
            <w:vAlign w:val="center"/>
          </w:tcPr>
          <w:p w14:paraId="0D93CA3D">
            <w:pPr>
              <w:widowControl w:val="0"/>
              <w:kinsoku/>
              <w:snapToGrid/>
              <w:spacing w:line="360" w:lineRule="auto"/>
              <w:jc w:val="center"/>
              <w:textAlignment w:val="auto"/>
              <w:rPr>
                <w:rFonts w:ascii="宋体" w:hAnsi="宋体" w:eastAsia="宋体" w:cs="黑体"/>
                <w:snapToGrid/>
                <w:color w:val="auto"/>
                <w:sz w:val="24"/>
                <w:szCs w:val="24"/>
                <w:lang w:eastAsia="zh-CN"/>
              </w:rPr>
            </w:pPr>
          </w:p>
        </w:tc>
        <w:tc>
          <w:tcPr>
            <w:tcW w:w="1408" w:type="dxa"/>
            <w:vAlign w:val="center"/>
          </w:tcPr>
          <w:p w14:paraId="182AF5BA">
            <w:pPr>
              <w:widowControl w:val="0"/>
              <w:kinsoku/>
              <w:snapToGrid/>
              <w:spacing w:line="360" w:lineRule="auto"/>
              <w:jc w:val="center"/>
              <w:textAlignment w:val="auto"/>
              <w:rPr>
                <w:rFonts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资格等级</w:t>
            </w:r>
          </w:p>
        </w:tc>
        <w:tc>
          <w:tcPr>
            <w:tcW w:w="1690" w:type="dxa"/>
            <w:vAlign w:val="center"/>
          </w:tcPr>
          <w:p w14:paraId="675E3F25">
            <w:pPr>
              <w:widowControl w:val="0"/>
              <w:kinsoku/>
              <w:snapToGrid/>
              <w:spacing w:line="360" w:lineRule="auto"/>
              <w:jc w:val="center"/>
              <w:textAlignment w:val="auto"/>
              <w:rPr>
                <w:rFonts w:ascii="宋体" w:hAnsi="宋体" w:eastAsia="宋体" w:cs="黑体"/>
                <w:snapToGrid/>
                <w:color w:val="auto"/>
                <w:sz w:val="24"/>
                <w:szCs w:val="24"/>
                <w:lang w:eastAsia="zh-CN"/>
              </w:rPr>
            </w:pPr>
          </w:p>
        </w:tc>
        <w:tc>
          <w:tcPr>
            <w:tcW w:w="1126" w:type="dxa"/>
            <w:vAlign w:val="center"/>
          </w:tcPr>
          <w:p w14:paraId="5FCAEA5F">
            <w:pPr>
              <w:widowControl w:val="0"/>
              <w:kinsoku/>
              <w:snapToGrid/>
              <w:spacing w:line="360" w:lineRule="auto"/>
              <w:jc w:val="center"/>
              <w:textAlignment w:val="auto"/>
              <w:rPr>
                <w:rFonts w:ascii="宋体" w:hAnsi="宋体" w:eastAsia="宋体" w:cs="黑体"/>
                <w:snapToGrid/>
                <w:color w:val="auto"/>
                <w:sz w:val="24"/>
                <w:szCs w:val="24"/>
                <w:lang w:eastAsia="zh-CN"/>
              </w:rPr>
            </w:pPr>
            <w:r>
              <w:rPr>
                <w:rFonts w:hint="eastAsia" w:ascii="宋体" w:hAnsi="宋体" w:eastAsia="宋体" w:cs="黑体"/>
                <w:snapToGrid/>
                <w:color w:val="auto"/>
                <w:sz w:val="24"/>
                <w:szCs w:val="24"/>
                <w:lang w:eastAsia="zh-CN"/>
              </w:rPr>
              <w:t>注册编号</w:t>
            </w:r>
          </w:p>
        </w:tc>
        <w:tc>
          <w:tcPr>
            <w:tcW w:w="1330" w:type="dxa"/>
            <w:vAlign w:val="center"/>
          </w:tcPr>
          <w:p w14:paraId="414DFDB3">
            <w:pPr>
              <w:widowControl w:val="0"/>
              <w:kinsoku/>
              <w:snapToGrid/>
              <w:spacing w:line="360" w:lineRule="auto"/>
              <w:jc w:val="center"/>
              <w:textAlignment w:val="auto"/>
              <w:rPr>
                <w:rFonts w:ascii="宋体" w:hAnsi="宋体" w:eastAsia="宋体" w:cs="黑体"/>
                <w:snapToGrid/>
                <w:color w:val="auto"/>
                <w:sz w:val="24"/>
                <w:szCs w:val="24"/>
                <w:lang w:eastAsia="zh-CN"/>
              </w:rPr>
            </w:pPr>
          </w:p>
        </w:tc>
      </w:tr>
      <w:tr w14:paraId="42D7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6" w:hRule="atLeast"/>
        </w:trPr>
        <w:tc>
          <w:tcPr>
            <w:tcW w:w="1571" w:type="dxa"/>
            <w:vAlign w:val="center"/>
          </w:tcPr>
          <w:p w14:paraId="5C9AE2E1">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备注</w:t>
            </w:r>
          </w:p>
        </w:tc>
        <w:tc>
          <w:tcPr>
            <w:tcW w:w="6668" w:type="dxa"/>
            <w:gridSpan w:val="5"/>
            <w:vAlign w:val="center"/>
          </w:tcPr>
          <w:p w14:paraId="638EC892">
            <w:pPr>
              <w:widowControl w:val="0"/>
              <w:kinsoku/>
              <w:autoSpaceDE/>
              <w:autoSpaceDN/>
              <w:adjustRightInd/>
              <w:snapToGrid/>
              <w:spacing w:line="360" w:lineRule="auto"/>
              <w:ind w:firstLine="240" w:firstLineChars="100"/>
              <w:jc w:val="center"/>
              <w:textAlignment w:val="auto"/>
              <w:rPr>
                <w:rFonts w:ascii="宋体" w:hAnsi="宋体" w:eastAsia="宋体" w:cs="宋体"/>
                <w:snapToGrid/>
                <w:color w:val="auto"/>
                <w:kern w:val="2"/>
                <w:sz w:val="24"/>
                <w:szCs w:val="24"/>
                <w:lang w:eastAsia="zh-CN"/>
              </w:rPr>
            </w:pPr>
          </w:p>
        </w:tc>
      </w:tr>
    </w:tbl>
    <w:p w14:paraId="361213F6">
      <w:pPr>
        <w:spacing w:line="360" w:lineRule="auto"/>
        <w:rPr>
          <w:rFonts w:hint="eastAsia" w:asciiTheme="minorEastAsia" w:hAnsiTheme="minorEastAsia"/>
          <w:color w:val="auto"/>
          <w:sz w:val="24"/>
          <w:szCs w:val="24"/>
          <w:lang w:eastAsia="zh-CN"/>
        </w:rPr>
      </w:pPr>
    </w:p>
    <w:p w14:paraId="10B922DB">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供应商：</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（盖章）</w:t>
      </w:r>
    </w:p>
    <w:p w14:paraId="4BC71978">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法定代表人或其委托代理人：</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（签字或盖章）</w:t>
      </w:r>
    </w:p>
    <w:p w14:paraId="6EC063A6">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日期：</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年</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月</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日</w:t>
      </w:r>
    </w:p>
    <w:p w14:paraId="06C8E7A9">
      <w:pPr>
        <w:spacing w:line="360" w:lineRule="auto"/>
        <w:rPr>
          <w:rFonts w:ascii="宋体" w:hAnsi="宋体" w:eastAsia="宋体"/>
          <w:color w:val="auto"/>
          <w:sz w:val="24"/>
          <w:szCs w:val="24"/>
          <w:lang w:eastAsia="zh-CN"/>
        </w:rPr>
      </w:pPr>
    </w:p>
    <w:p w14:paraId="1DB15995">
      <w:pPr>
        <w:spacing w:line="360" w:lineRule="auto"/>
        <w:rPr>
          <w:rFonts w:ascii="宋体" w:hAnsi="宋体" w:eastAsia="宋体"/>
          <w:color w:val="auto"/>
          <w:sz w:val="24"/>
          <w:szCs w:val="24"/>
          <w:lang w:eastAsia="zh-CN"/>
        </w:rPr>
      </w:pPr>
    </w:p>
    <w:p w14:paraId="090BCCD3">
      <w:pPr>
        <w:rPr>
          <w:rFonts w:hint="eastAsia" w:asciiTheme="minorEastAsia" w:hAnsiTheme="minorEastAsia"/>
          <w:b/>
          <w:color w:val="auto"/>
          <w:sz w:val="24"/>
          <w:szCs w:val="24"/>
          <w:lang w:eastAsia="zh-CN"/>
        </w:rPr>
      </w:pPr>
      <w:r>
        <w:rPr>
          <w:rFonts w:hint="eastAsia" w:asciiTheme="minorEastAsia" w:hAnsiTheme="minorEastAsia"/>
          <w:b/>
          <w:color w:val="auto"/>
          <w:sz w:val="24"/>
          <w:szCs w:val="24"/>
          <w:lang w:eastAsia="zh-CN"/>
        </w:rPr>
        <w:br w:type="page"/>
      </w:r>
    </w:p>
    <w:p w14:paraId="5508D22B">
      <w:pPr>
        <w:spacing w:line="360" w:lineRule="auto"/>
        <w:jc w:val="center"/>
        <w:rPr>
          <w:rFonts w:asciiTheme="minorEastAsia" w:hAnsiTheme="minorEastAsia"/>
          <w:b/>
          <w:color w:val="auto"/>
          <w:sz w:val="24"/>
          <w:szCs w:val="24"/>
          <w:lang w:eastAsia="zh-CN"/>
        </w:rPr>
      </w:pPr>
      <w:r>
        <w:rPr>
          <w:rFonts w:hint="eastAsia" w:asciiTheme="minorEastAsia" w:hAnsiTheme="minorEastAsia"/>
          <w:b/>
          <w:color w:val="auto"/>
          <w:sz w:val="24"/>
          <w:szCs w:val="24"/>
          <w:lang w:eastAsia="zh-CN"/>
        </w:rPr>
        <w:t>二、法定代表人身份证明或法定代表人授权委托书</w:t>
      </w:r>
    </w:p>
    <w:p w14:paraId="2B01A4CE">
      <w:pPr>
        <w:spacing w:line="360" w:lineRule="auto"/>
        <w:jc w:val="center"/>
        <w:rPr>
          <w:rFonts w:asciiTheme="minorEastAsia" w:hAnsiTheme="minorEastAsia"/>
          <w:b/>
          <w:color w:val="auto"/>
          <w:sz w:val="24"/>
          <w:szCs w:val="24"/>
          <w:lang w:eastAsia="zh-CN"/>
        </w:rPr>
      </w:pPr>
      <w:r>
        <w:rPr>
          <w:rFonts w:hint="eastAsia" w:asciiTheme="minorEastAsia" w:hAnsiTheme="minorEastAsia"/>
          <w:b/>
          <w:color w:val="auto"/>
          <w:sz w:val="24"/>
          <w:szCs w:val="24"/>
          <w:lang w:eastAsia="zh-CN"/>
        </w:rPr>
        <w:t>（一）法定代表人身份证明</w:t>
      </w:r>
    </w:p>
    <w:p w14:paraId="4EEAA7AB">
      <w:pPr>
        <w:widowControl w:val="0"/>
        <w:kinsoku/>
        <w:autoSpaceDE/>
        <w:autoSpaceDN/>
        <w:adjustRightInd/>
        <w:snapToGrid/>
        <w:spacing w:line="360" w:lineRule="auto"/>
        <w:ind w:firstLine="420" w:firstLineChars="200"/>
        <w:jc w:val="both"/>
        <w:textAlignment w:val="auto"/>
        <w:rPr>
          <w:rFonts w:ascii="宋体" w:hAnsi="宋体" w:eastAsia="宋体" w:cs="宋体"/>
          <w:snapToGrid/>
          <w:color w:val="auto"/>
          <w:lang w:eastAsia="zh-CN"/>
        </w:rPr>
      </w:pPr>
    </w:p>
    <w:p w14:paraId="7E2D697F">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供应商名称：</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 xml:space="preserve"> </w:t>
      </w:r>
    </w:p>
    <w:p w14:paraId="6AD7B929">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单位性质：</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 xml:space="preserve"> </w:t>
      </w:r>
    </w:p>
    <w:p w14:paraId="7895B0A0">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地址：</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 xml:space="preserve"> </w:t>
      </w:r>
    </w:p>
    <w:p w14:paraId="446D78E2">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成立时间：</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年</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月</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日</w:t>
      </w:r>
    </w:p>
    <w:p w14:paraId="43EA2F3B">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经营期限：</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 xml:space="preserve"> </w:t>
      </w:r>
    </w:p>
    <w:p w14:paraId="29C8B083">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姓名：</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性别：</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年龄：</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职务：</w:t>
      </w:r>
      <w:r>
        <w:rPr>
          <w:rFonts w:hint="eastAsia" w:ascii="宋体" w:hAnsi="宋体" w:eastAsia="宋体" w:cs="宋体"/>
          <w:snapToGrid/>
          <w:color w:val="auto"/>
          <w:sz w:val="24"/>
          <w:szCs w:val="24"/>
          <w:u w:val="single"/>
          <w:lang w:eastAsia="zh-CN"/>
        </w:rPr>
        <w:t xml:space="preserve">       </w:t>
      </w:r>
    </w:p>
    <w:p w14:paraId="790190CB">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系</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（供应商名称）的法定代表人。</w:t>
      </w:r>
    </w:p>
    <w:p w14:paraId="1C3555A6">
      <w:pPr>
        <w:widowControl w:val="0"/>
        <w:kinsoku/>
        <w:autoSpaceDE/>
        <w:autoSpaceDN/>
        <w:adjustRightInd/>
        <w:snapToGrid/>
        <w:spacing w:line="360" w:lineRule="auto"/>
        <w:ind w:firstLine="960" w:firstLineChars="400"/>
        <w:jc w:val="both"/>
        <w:textAlignment w:val="auto"/>
        <w:rPr>
          <w:rFonts w:ascii="宋体" w:hAnsi="宋体" w:eastAsia="宋体" w:cs="宋体"/>
          <w:snapToGrid/>
          <w:color w:val="auto"/>
          <w:sz w:val="24"/>
          <w:szCs w:val="24"/>
          <w:lang w:eastAsia="zh-CN"/>
        </w:rPr>
      </w:pPr>
    </w:p>
    <w:p w14:paraId="65C7604F">
      <w:pPr>
        <w:widowControl w:val="0"/>
        <w:kinsoku/>
        <w:autoSpaceDE/>
        <w:autoSpaceDN/>
        <w:adjustRightInd/>
        <w:snapToGrid/>
        <w:spacing w:line="360" w:lineRule="auto"/>
        <w:ind w:firstLine="960" w:firstLineChars="4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附：法定代表人身份证正反面复印件</w:t>
      </w:r>
    </w:p>
    <w:p w14:paraId="38CEAB0F">
      <w:pPr>
        <w:widowControl w:val="0"/>
        <w:kinsoku/>
        <w:autoSpaceDE/>
        <w:autoSpaceDN/>
        <w:adjustRightInd/>
        <w:snapToGrid/>
        <w:spacing w:line="360" w:lineRule="auto"/>
        <w:ind w:firstLine="960" w:firstLineChars="400"/>
        <w:jc w:val="both"/>
        <w:textAlignment w:val="auto"/>
        <w:rPr>
          <w:rFonts w:ascii="宋体" w:hAnsi="宋体" w:eastAsia="宋体" w:cs="宋体"/>
          <w:snapToGrid/>
          <w:color w:val="auto"/>
          <w:sz w:val="24"/>
          <w:szCs w:val="24"/>
          <w:lang w:eastAsia="zh-CN"/>
        </w:rPr>
      </w:pPr>
    </w:p>
    <w:p w14:paraId="20AD39B9">
      <w:pPr>
        <w:widowControl w:val="0"/>
        <w:kinsoku/>
        <w:autoSpaceDE/>
        <w:autoSpaceDN/>
        <w:adjustRightInd/>
        <w:snapToGrid/>
        <w:spacing w:line="360" w:lineRule="auto"/>
        <w:ind w:firstLine="960" w:firstLineChars="400"/>
        <w:jc w:val="both"/>
        <w:textAlignment w:val="auto"/>
        <w:rPr>
          <w:rFonts w:ascii="宋体" w:hAnsi="宋体" w:eastAsia="宋体" w:cs="宋体"/>
          <w:snapToGrid/>
          <w:color w:val="auto"/>
          <w:sz w:val="24"/>
          <w:szCs w:val="24"/>
          <w:lang w:eastAsia="zh-CN"/>
        </w:rPr>
      </w:pPr>
    </w:p>
    <w:p w14:paraId="233E9FA4">
      <w:pPr>
        <w:widowControl w:val="0"/>
        <w:kinsoku/>
        <w:autoSpaceDE/>
        <w:autoSpaceDN/>
        <w:adjustRightInd/>
        <w:snapToGrid/>
        <w:spacing w:line="360" w:lineRule="auto"/>
        <w:ind w:firstLine="960" w:firstLineChars="4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特此证明。</w:t>
      </w:r>
    </w:p>
    <w:p w14:paraId="5886B070">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供应商：</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（盖章）</w:t>
      </w:r>
    </w:p>
    <w:p w14:paraId="29556B9F">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日期：</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年</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月</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日</w:t>
      </w:r>
    </w:p>
    <w:p w14:paraId="1360A4D7">
      <w:pPr>
        <w:widowControl w:val="0"/>
        <w:kinsoku/>
        <w:autoSpaceDE/>
        <w:autoSpaceDN/>
        <w:adjustRightInd/>
        <w:snapToGrid/>
        <w:spacing w:line="360" w:lineRule="auto"/>
        <w:ind w:firstLine="840" w:firstLineChars="400"/>
        <w:jc w:val="both"/>
        <w:textAlignment w:val="auto"/>
        <w:rPr>
          <w:rFonts w:ascii="宋体" w:hAnsi="宋体" w:eastAsia="宋体" w:cs="宋体"/>
          <w:snapToGrid/>
          <w:color w:val="auto"/>
          <w:lang w:eastAsia="zh-CN"/>
        </w:rPr>
      </w:pPr>
    </w:p>
    <w:p w14:paraId="4B403F7C">
      <w:pPr>
        <w:spacing w:line="360" w:lineRule="auto"/>
        <w:jc w:val="center"/>
        <w:rPr>
          <w:rFonts w:ascii="宋体" w:hAnsi="宋体" w:eastAsia="宋体"/>
          <w:b/>
          <w:color w:val="auto"/>
          <w:sz w:val="24"/>
          <w:szCs w:val="24"/>
          <w:lang w:eastAsia="zh-CN"/>
        </w:rPr>
      </w:pPr>
    </w:p>
    <w:p w14:paraId="772B8479">
      <w:pPr>
        <w:kinsoku/>
        <w:autoSpaceDE/>
        <w:autoSpaceDN/>
        <w:adjustRightInd/>
        <w:snapToGrid/>
        <w:textAlignment w:val="auto"/>
        <w:rPr>
          <w:rFonts w:ascii="宋体" w:hAnsi="宋体" w:eastAsia="宋体"/>
          <w:b/>
          <w:color w:val="auto"/>
          <w:sz w:val="24"/>
          <w:szCs w:val="24"/>
          <w:lang w:eastAsia="zh-CN"/>
        </w:rPr>
      </w:pPr>
      <w:r>
        <w:rPr>
          <w:rFonts w:ascii="宋体" w:hAnsi="宋体" w:eastAsia="宋体"/>
          <w:b/>
          <w:color w:val="auto"/>
          <w:sz w:val="24"/>
          <w:szCs w:val="24"/>
          <w:lang w:eastAsia="zh-CN"/>
        </w:rPr>
        <w:br w:type="page"/>
      </w:r>
    </w:p>
    <w:p w14:paraId="52B63DDB">
      <w:pPr>
        <w:spacing w:line="360" w:lineRule="auto"/>
        <w:jc w:val="center"/>
        <w:rPr>
          <w:rFonts w:asciiTheme="minorEastAsia" w:hAnsiTheme="minorEastAsia"/>
          <w:b/>
          <w:color w:val="auto"/>
          <w:sz w:val="24"/>
          <w:szCs w:val="24"/>
          <w:lang w:eastAsia="zh-CN"/>
        </w:rPr>
      </w:pPr>
      <w:r>
        <w:rPr>
          <w:rFonts w:hint="eastAsia" w:asciiTheme="minorEastAsia" w:hAnsiTheme="minorEastAsia"/>
          <w:b/>
          <w:color w:val="auto"/>
          <w:sz w:val="24"/>
          <w:szCs w:val="24"/>
          <w:lang w:eastAsia="zh-CN"/>
        </w:rPr>
        <w:t>（二）法定代表人授权委托书</w:t>
      </w:r>
    </w:p>
    <w:p w14:paraId="436B8C1B">
      <w:pPr>
        <w:widowControl w:val="0"/>
        <w:kinsoku/>
        <w:autoSpaceDE/>
        <w:autoSpaceDN/>
        <w:adjustRightInd/>
        <w:snapToGrid/>
        <w:spacing w:line="360" w:lineRule="auto"/>
        <w:ind w:firstLine="420" w:firstLineChars="200"/>
        <w:jc w:val="both"/>
        <w:textAlignment w:val="auto"/>
        <w:rPr>
          <w:rFonts w:ascii="宋体" w:hAnsi="宋体" w:eastAsia="宋体" w:cs="宋体"/>
          <w:snapToGrid/>
          <w:color w:val="auto"/>
          <w:lang w:eastAsia="zh-CN"/>
        </w:rPr>
      </w:pPr>
    </w:p>
    <w:p w14:paraId="4234C76F">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本人</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（姓名）系</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（供应商名称）的法定代表人，现委托</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 xml:space="preserve">（姓名）为我方代理人。代理人根据授权，以我方名义签署、澄清、说明、补正、递交、撤回、修改 </w:t>
      </w:r>
      <w:r>
        <w:rPr>
          <w:rFonts w:hint="eastAsia" w:ascii="宋体" w:hAnsi="宋体" w:eastAsia="宋体" w:cs="宋体"/>
          <w:snapToGrid/>
          <w:color w:val="auto"/>
          <w:sz w:val="24"/>
          <w:szCs w:val="24"/>
          <w:u w:val="single"/>
          <w:lang w:eastAsia="zh-CN"/>
        </w:rPr>
        <w:t xml:space="preserve">      （项目名称）    </w:t>
      </w:r>
      <w:r>
        <w:rPr>
          <w:rFonts w:hint="eastAsia" w:ascii="宋体" w:hAnsi="宋体" w:eastAsia="宋体" w:cs="宋体"/>
          <w:snapToGrid/>
          <w:color w:val="auto"/>
          <w:sz w:val="24"/>
          <w:szCs w:val="24"/>
          <w:lang w:eastAsia="zh-CN"/>
        </w:rPr>
        <w:t>响应文件、签订合同和处理有关事宜，其法律后果由我方承担。</w:t>
      </w:r>
    </w:p>
    <w:p w14:paraId="377E5409">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委托期限：</w:t>
      </w:r>
      <w:r>
        <w:rPr>
          <w:rFonts w:hint="eastAsia" w:ascii="宋体" w:hAnsi="宋体" w:eastAsia="宋体" w:cs="宋体"/>
          <w:snapToGrid/>
          <w:color w:val="auto"/>
          <w:sz w:val="24"/>
          <w:szCs w:val="24"/>
          <w:u w:val="single"/>
          <w:lang w:eastAsia="zh-CN"/>
        </w:rPr>
        <w:t xml:space="preserve">    提交首次响应文件截止之日起90 日历天。     </w:t>
      </w:r>
    </w:p>
    <w:p w14:paraId="6E42E402">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代理人无转委托权。</w:t>
      </w:r>
    </w:p>
    <w:p w14:paraId="64CA4769">
      <w:pPr>
        <w:widowControl w:val="0"/>
        <w:kinsoku/>
        <w:autoSpaceDE/>
        <w:autoSpaceDN/>
        <w:adjustRightInd/>
        <w:snapToGrid/>
        <w:spacing w:afterLines="100" w:line="500" w:lineRule="exact"/>
        <w:ind w:firstLine="480" w:firstLineChars="200"/>
        <w:jc w:val="both"/>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附：法定代表人身份证复印件和被授权人身份证复印件</w:t>
      </w:r>
    </w:p>
    <w:p w14:paraId="1DCF11D4">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供应商：</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（盖章）</w:t>
      </w:r>
    </w:p>
    <w:p w14:paraId="14B3B226">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法定代表人：</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（签字或盖章）</w:t>
      </w:r>
    </w:p>
    <w:p w14:paraId="320F8C60">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身份证号：</w:t>
      </w:r>
      <w:r>
        <w:rPr>
          <w:rFonts w:hint="eastAsia" w:ascii="宋体" w:hAnsi="宋体" w:eastAsia="宋体"/>
          <w:color w:val="auto"/>
          <w:sz w:val="24"/>
          <w:szCs w:val="24"/>
          <w:u w:val="single"/>
          <w:lang w:eastAsia="zh-CN"/>
        </w:rPr>
        <w:t xml:space="preserve">                         </w:t>
      </w:r>
    </w:p>
    <w:p w14:paraId="4AD14DC0">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委托代理人：</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（签字或盖章）</w:t>
      </w:r>
    </w:p>
    <w:p w14:paraId="01D3DA12">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身份证号：</w:t>
      </w:r>
      <w:r>
        <w:rPr>
          <w:rFonts w:hint="eastAsia" w:ascii="宋体" w:hAnsi="宋体" w:eastAsia="宋体"/>
          <w:color w:val="auto"/>
          <w:sz w:val="24"/>
          <w:szCs w:val="24"/>
          <w:u w:val="single"/>
          <w:lang w:eastAsia="zh-CN"/>
        </w:rPr>
        <w:t xml:space="preserve">                      </w:t>
      </w:r>
    </w:p>
    <w:p w14:paraId="25F34812">
      <w:pPr>
        <w:spacing w:line="360" w:lineRule="auto"/>
        <w:rPr>
          <w:rFonts w:ascii="宋体" w:hAnsi="宋体" w:eastAsia="宋体"/>
          <w:color w:val="auto"/>
          <w:sz w:val="24"/>
          <w:szCs w:val="24"/>
          <w:lang w:eastAsia="zh-CN"/>
        </w:rPr>
      </w:pPr>
      <w:r>
        <w:rPr>
          <w:rFonts w:hint="eastAsia" w:asciiTheme="minorEastAsia" w:hAnsiTheme="minorEastAsia"/>
          <w:color w:val="auto"/>
          <w:sz w:val="24"/>
          <w:szCs w:val="24"/>
          <w:lang w:eastAsia="zh-CN"/>
        </w:rPr>
        <w:t>日期：</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年</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月</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日</w:t>
      </w:r>
    </w:p>
    <w:p w14:paraId="35818F0C">
      <w:pPr>
        <w:spacing w:line="360" w:lineRule="auto"/>
        <w:rPr>
          <w:rFonts w:ascii="宋体" w:hAnsi="宋体" w:eastAsia="宋体"/>
          <w:color w:val="auto"/>
          <w:sz w:val="24"/>
          <w:szCs w:val="24"/>
          <w:lang w:eastAsia="zh-CN"/>
        </w:rPr>
      </w:pPr>
    </w:p>
    <w:p w14:paraId="768829DB">
      <w:pPr>
        <w:spacing w:line="360" w:lineRule="auto"/>
        <w:rPr>
          <w:rFonts w:ascii="宋体" w:hAnsi="宋体" w:eastAsia="宋体"/>
          <w:color w:val="auto"/>
          <w:sz w:val="24"/>
          <w:szCs w:val="24"/>
          <w:lang w:eastAsia="zh-CN"/>
        </w:rPr>
      </w:pPr>
    </w:p>
    <w:p w14:paraId="6C812FE7">
      <w:pPr>
        <w:kinsoku/>
        <w:autoSpaceDE/>
        <w:autoSpaceDN/>
        <w:adjustRightInd/>
        <w:snapToGrid/>
        <w:textAlignment w:val="auto"/>
        <w:rPr>
          <w:rFonts w:ascii="宋体" w:hAnsi="宋体" w:eastAsia="宋体"/>
          <w:b/>
          <w:color w:val="auto"/>
          <w:sz w:val="24"/>
          <w:szCs w:val="24"/>
          <w:lang w:eastAsia="zh-CN"/>
        </w:rPr>
      </w:pPr>
      <w:r>
        <w:rPr>
          <w:rFonts w:ascii="宋体" w:hAnsi="宋体" w:eastAsia="宋体"/>
          <w:b/>
          <w:color w:val="auto"/>
          <w:sz w:val="24"/>
          <w:szCs w:val="24"/>
          <w:lang w:eastAsia="zh-CN"/>
        </w:rPr>
        <w:br w:type="page"/>
      </w:r>
    </w:p>
    <w:p w14:paraId="5DCAC616">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三、响应承诺函</w:t>
      </w:r>
    </w:p>
    <w:p w14:paraId="5CB0635C">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kern w:val="2"/>
          <w:sz w:val="24"/>
          <w:szCs w:val="24"/>
          <w:lang w:eastAsia="zh-CN"/>
        </w:rPr>
        <w:t>致（采购人）</w:t>
      </w:r>
      <w:r>
        <w:rPr>
          <w:rFonts w:hint="eastAsia" w:ascii="宋体" w:hAnsi="宋体" w:eastAsia="宋体" w:cs="宋体"/>
          <w:snapToGrid/>
          <w:color w:val="auto"/>
          <w:spacing w:val="8"/>
          <w:kern w:val="2"/>
          <w:sz w:val="24"/>
          <w:szCs w:val="24"/>
          <w:lang w:eastAsia="zh-CN"/>
        </w:rPr>
        <w:t>：</w:t>
      </w:r>
    </w:p>
    <w:p w14:paraId="42B35833">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我公司作为本次采购项目的投标人，根据磋商文件要求，现郑重承诺如下：</w:t>
      </w:r>
    </w:p>
    <w:p w14:paraId="7BD5FCB9">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一、具备《中华人民共和国政府采购法》第二十二条第一款和本项目规定的条件：</w:t>
      </w:r>
    </w:p>
    <w:p w14:paraId="681171A3">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（一）具有独立承担民事责任的能力； 　　</w:t>
      </w:r>
    </w:p>
    <w:p w14:paraId="44378E38">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（二）具有良好的商业信誉和健全的财务会计制度； 　</w:t>
      </w:r>
    </w:p>
    <w:p w14:paraId="2A59E752">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（三）具有履行合同所必需的设备和专业技术能力； 　　</w:t>
      </w:r>
    </w:p>
    <w:p w14:paraId="64A4CCCD">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（四）有依法缴纳税收和社会保障资金的良好记录； 　　</w:t>
      </w:r>
    </w:p>
    <w:p w14:paraId="2832A17B">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（五）参加政府采购活动前三年内，在经营活动中没有重大违法记录；</w:t>
      </w:r>
    </w:p>
    <w:p w14:paraId="698F28AD">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（六）法律、行政法规规定的其他条件；</w:t>
      </w:r>
    </w:p>
    <w:p w14:paraId="2CA6BE30">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（七）根据采购项目提出的特殊条件。</w:t>
      </w:r>
    </w:p>
    <w:p w14:paraId="758FB5A2">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二、完全接受和满足本项目磋商文件中规定的实质性要求，如对磋商文件有异议，已经在投标截止时间届满前依法进行维权救济，不存在对磋商文件有异议的同时又参加投标以求侥幸中标或者为实现其他非法目的的行为。</w:t>
      </w:r>
    </w:p>
    <w:p w14:paraId="1011656C">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三、参加本次招标采购活动，不存在与单位负责人为同一人或者存在直接控股、管理关系的其他供应商参与同一合同项下的政府采购活动的行为。    </w:t>
      </w:r>
    </w:p>
    <w:p w14:paraId="13D78EAD">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四、参加本次招标采购活动，不存在为采购项目提供整体设计、规范编制或者项目管理、监理、检测等服务的行为。</w:t>
      </w:r>
    </w:p>
    <w:p w14:paraId="31556466">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五、参加本次招标采购活动，不存在和其他供应商在同一合同项下的采购项目中，同时委托同一个自然人、同一家庭的人员、同一单位的人员作为代理人的行为。</w:t>
      </w:r>
    </w:p>
    <w:p w14:paraId="38782218">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六、投标人参加本次政府采购活动要求在近三年内投标人和其法定代表人没有行贿犯罪行为。</w:t>
      </w:r>
    </w:p>
    <w:p w14:paraId="2E8FC00E">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七、参加本次招标采购活动，不存在联合体投标。</w:t>
      </w:r>
    </w:p>
    <w:p w14:paraId="1DE19835">
      <w:pPr>
        <w:widowControl w:val="0"/>
        <w:shd w:val="clear" w:color="auto" w:fill="FFFFFF"/>
        <w:kinsoku/>
        <w:autoSpaceDE/>
        <w:autoSpaceDN/>
        <w:adjustRightInd/>
        <w:snapToGrid/>
        <w:spacing w:line="360" w:lineRule="auto"/>
        <w:ind w:firstLine="480"/>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八、投标文件中提供的能够给予我公司带来优惠、好处的任何材料资料和技术、服务、商务等响应承诺情况都是真实的、有效的、合法的。</w:t>
      </w:r>
    </w:p>
    <w:p w14:paraId="4E0F05E8">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  九、存在以下行为之一的愿意接受相关部门的处理：</w:t>
      </w:r>
    </w:p>
    <w:p w14:paraId="3258D756">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   （一）投标有效期内撤销投标文件的；</w:t>
      </w:r>
    </w:p>
    <w:p w14:paraId="169C673E">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   （二）在采购人确定中标人以前放弃中标候选资格的；</w:t>
      </w:r>
    </w:p>
    <w:p w14:paraId="479A2C5F">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   （三）由于中标人的原因未能按照磋商文件的规定与采购人签订合同；</w:t>
      </w:r>
    </w:p>
    <w:p w14:paraId="69BBDBEB">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   （四）由于中标人的原因未能按照磋商文件的规定交纳履约保证金；</w:t>
      </w:r>
    </w:p>
    <w:p w14:paraId="1F5308AC">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   （五）在投标文件中提供虚假材料谋取中标；</w:t>
      </w:r>
    </w:p>
    <w:p w14:paraId="2FF1AFC0">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   （六）与采购人、其他供应商恶意串通的；</w:t>
      </w:r>
    </w:p>
    <w:p w14:paraId="0170084E">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   （七）投标有效期内，投标人在政府采购活动中有违法、违规、违纪行为。</w:t>
      </w:r>
    </w:p>
    <w:p w14:paraId="1304A331">
      <w:pPr>
        <w:widowControl w:val="0"/>
        <w:shd w:val="clear" w:color="auto" w:fill="FFFFFF"/>
        <w:kinsoku/>
        <w:autoSpaceDE/>
        <w:autoSpaceDN/>
        <w:adjustRightInd/>
        <w:snapToGrid/>
        <w:spacing w:line="360" w:lineRule="auto"/>
        <w:jc w:val="both"/>
        <w:textAlignment w:val="auto"/>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 由此产生的一切法律后果和责任由我公司承担。我公司声明放弃对此提出任何异议和追索的权利。</w:t>
      </w:r>
    </w:p>
    <w:p w14:paraId="089E7789">
      <w:pPr>
        <w:spacing w:line="360" w:lineRule="auto"/>
        <w:ind w:firstLine="384" w:firstLineChars="150"/>
        <w:rPr>
          <w:rFonts w:ascii="宋体" w:hAnsi="宋体" w:eastAsia="宋体" w:cs="宋体"/>
          <w:snapToGrid/>
          <w:color w:val="auto"/>
          <w:spacing w:val="8"/>
          <w:kern w:val="2"/>
          <w:sz w:val="24"/>
          <w:szCs w:val="24"/>
          <w:lang w:eastAsia="zh-CN"/>
        </w:rPr>
      </w:pPr>
      <w:r>
        <w:rPr>
          <w:rFonts w:hint="eastAsia" w:ascii="宋体" w:hAnsi="宋体" w:eastAsia="宋体" w:cs="宋体"/>
          <w:snapToGrid/>
          <w:color w:val="auto"/>
          <w:spacing w:val="8"/>
          <w:kern w:val="2"/>
          <w:sz w:val="24"/>
          <w:szCs w:val="24"/>
          <w:lang w:eastAsia="zh-CN"/>
        </w:rPr>
        <w:t>本公司对上述承诺的内容事项真实性负责。如经查实上述承诺的内容事项存在虚假，我公司愿意接受以提供虚假材料谋取中标追究法律责任。</w:t>
      </w:r>
    </w:p>
    <w:p w14:paraId="6A5682C2">
      <w:pPr>
        <w:spacing w:line="360" w:lineRule="auto"/>
        <w:rPr>
          <w:rFonts w:asciiTheme="minorEastAsia" w:hAnsiTheme="minorEastAsia"/>
          <w:color w:val="auto"/>
          <w:sz w:val="24"/>
          <w:szCs w:val="24"/>
          <w:lang w:eastAsia="zh-CN"/>
        </w:rPr>
      </w:pPr>
    </w:p>
    <w:p w14:paraId="6D33368F">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供应商：</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（盖章）</w:t>
      </w:r>
    </w:p>
    <w:p w14:paraId="1E7433C0">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法定代表人或其委托代理人：</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（签字或盖章）</w:t>
      </w:r>
    </w:p>
    <w:p w14:paraId="17D70196">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日期：</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年</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月</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日</w:t>
      </w:r>
    </w:p>
    <w:p w14:paraId="2EEF3959">
      <w:pPr>
        <w:spacing w:line="360" w:lineRule="auto"/>
        <w:ind w:firstLine="360" w:firstLineChars="150"/>
        <w:rPr>
          <w:rFonts w:ascii="宋体" w:hAnsi="宋体" w:eastAsia="宋体"/>
          <w:color w:val="auto"/>
          <w:sz w:val="24"/>
          <w:szCs w:val="24"/>
          <w:lang w:eastAsia="zh-CN"/>
        </w:rPr>
      </w:pPr>
    </w:p>
    <w:p w14:paraId="0D871A6F">
      <w:pPr>
        <w:kinsoku/>
        <w:autoSpaceDE/>
        <w:autoSpaceDN/>
        <w:adjustRightInd/>
        <w:snapToGrid/>
        <w:textAlignment w:val="auto"/>
        <w:rPr>
          <w:rFonts w:ascii="宋体" w:hAnsi="宋体" w:eastAsia="宋体"/>
          <w:b/>
          <w:color w:val="auto"/>
          <w:sz w:val="24"/>
          <w:szCs w:val="24"/>
          <w:lang w:eastAsia="zh-CN"/>
        </w:rPr>
      </w:pPr>
      <w:r>
        <w:rPr>
          <w:rFonts w:ascii="宋体" w:hAnsi="宋体" w:eastAsia="宋体"/>
          <w:b/>
          <w:color w:val="auto"/>
          <w:sz w:val="24"/>
          <w:szCs w:val="24"/>
          <w:lang w:eastAsia="zh-CN"/>
        </w:rPr>
        <w:br w:type="page"/>
      </w:r>
    </w:p>
    <w:p w14:paraId="7466332D">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四、供应商资格证明文件</w:t>
      </w:r>
    </w:p>
    <w:p w14:paraId="13B9F173">
      <w:pPr>
        <w:keepNext/>
        <w:keepLines/>
        <w:widowControl w:val="0"/>
        <w:kinsoku/>
        <w:autoSpaceDE/>
        <w:autoSpaceDN/>
        <w:adjustRightInd/>
        <w:snapToGrid/>
        <w:spacing w:line="360" w:lineRule="auto"/>
        <w:jc w:val="center"/>
        <w:textAlignment w:val="auto"/>
        <w:outlineLvl w:val="2"/>
        <w:rPr>
          <w:rFonts w:ascii="宋体" w:hAnsi="宋体" w:eastAsia="宋体" w:cs="Times New Roman"/>
          <w:b/>
          <w:bCs/>
          <w:snapToGrid/>
          <w:color w:val="auto"/>
          <w:kern w:val="2"/>
          <w:sz w:val="24"/>
          <w:szCs w:val="24"/>
          <w:lang w:eastAsia="zh-CN"/>
        </w:rPr>
      </w:pPr>
      <w:bookmarkStart w:id="554" w:name="_Toc247085891"/>
      <w:bookmarkStart w:id="555" w:name="_Toc13677700"/>
      <w:bookmarkStart w:id="556" w:name="_Toc333419723"/>
      <w:bookmarkStart w:id="557" w:name="_Toc152042597"/>
      <w:bookmarkStart w:id="558" w:name="_Toc152153257"/>
      <w:bookmarkStart w:id="559" w:name="_Toc179632828"/>
      <w:bookmarkStart w:id="560" w:name="_Toc246996373"/>
      <w:bookmarkStart w:id="561" w:name="_Toc22230704"/>
      <w:bookmarkStart w:id="562" w:name="_Toc246997116"/>
      <w:bookmarkStart w:id="563" w:name="_Toc17385752"/>
      <w:bookmarkStart w:id="564" w:name="_Toc152045808"/>
      <w:bookmarkStart w:id="565" w:name="_Toc296602618"/>
      <w:bookmarkStart w:id="566" w:name="_Toc154389368"/>
      <w:bookmarkStart w:id="567" w:name="_Toc22139845"/>
      <w:bookmarkStart w:id="568" w:name="_Toc144974876"/>
      <w:bookmarkStart w:id="569" w:name="_Toc22310526"/>
      <w:bookmarkStart w:id="570" w:name="_Toc3206"/>
      <w:r>
        <w:rPr>
          <w:rFonts w:hint="eastAsia" w:ascii="宋体" w:hAnsi="宋体" w:eastAsia="宋体" w:cs="Times New Roman"/>
          <w:b/>
          <w:bCs/>
          <w:snapToGrid/>
          <w:color w:val="auto"/>
          <w:kern w:val="2"/>
          <w:sz w:val="24"/>
          <w:szCs w:val="24"/>
          <w:lang w:eastAsia="zh-CN"/>
        </w:rPr>
        <w:t>（一）供应商基本情况表</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tbl>
      <w:tblPr>
        <w:tblStyle w:val="2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490"/>
        <w:gridCol w:w="860"/>
        <w:gridCol w:w="992"/>
      </w:tblGrid>
      <w:tr w14:paraId="61A689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14:paraId="51341821">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供应商名称</w:t>
            </w:r>
          </w:p>
        </w:tc>
        <w:tc>
          <w:tcPr>
            <w:tcW w:w="6840" w:type="dxa"/>
            <w:gridSpan w:val="9"/>
            <w:tcBorders>
              <w:top w:val="single" w:color="auto" w:sz="4" w:space="0"/>
              <w:left w:val="single" w:color="auto" w:sz="4" w:space="0"/>
              <w:bottom w:val="single" w:color="auto" w:sz="4" w:space="0"/>
              <w:right w:val="single" w:color="auto" w:sz="4" w:space="0"/>
            </w:tcBorders>
            <w:vAlign w:val="center"/>
          </w:tcPr>
          <w:p w14:paraId="3B782633">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078659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14:paraId="1927A6D9">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14:paraId="6B28FE2D">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1078" w:type="dxa"/>
            <w:tcBorders>
              <w:top w:val="single" w:color="auto" w:sz="4" w:space="0"/>
              <w:left w:val="single" w:color="auto" w:sz="4" w:space="0"/>
              <w:bottom w:val="single" w:color="auto" w:sz="4" w:space="0"/>
              <w:right w:val="single" w:color="auto" w:sz="4" w:space="0"/>
            </w:tcBorders>
            <w:vAlign w:val="center"/>
          </w:tcPr>
          <w:p w14:paraId="4F6B6F96">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080F6027">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037E5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14:paraId="536F3F72">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14:paraId="790ED62F">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07396DE5">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1078" w:type="dxa"/>
            <w:tcBorders>
              <w:top w:val="single" w:color="auto" w:sz="4" w:space="0"/>
              <w:left w:val="single" w:color="auto" w:sz="4" w:space="0"/>
              <w:bottom w:val="single" w:color="auto" w:sz="4" w:space="0"/>
              <w:right w:val="single" w:color="auto" w:sz="4" w:space="0"/>
            </w:tcBorders>
            <w:vAlign w:val="center"/>
          </w:tcPr>
          <w:p w14:paraId="4B72FB3D">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电 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468C25FC">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7E777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14:paraId="1E4DFA68">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898" w:type="dxa"/>
            <w:tcBorders>
              <w:top w:val="single" w:color="auto" w:sz="4" w:space="0"/>
              <w:left w:val="single" w:color="auto" w:sz="4" w:space="0"/>
              <w:bottom w:val="single" w:color="auto" w:sz="4" w:space="0"/>
              <w:right w:val="single" w:color="auto" w:sz="4" w:space="0"/>
            </w:tcBorders>
            <w:vAlign w:val="center"/>
          </w:tcPr>
          <w:p w14:paraId="665ADCFA">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传  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0FBB9C03">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1078" w:type="dxa"/>
            <w:tcBorders>
              <w:top w:val="single" w:color="auto" w:sz="4" w:space="0"/>
              <w:left w:val="single" w:color="auto" w:sz="4" w:space="0"/>
              <w:bottom w:val="single" w:color="auto" w:sz="4" w:space="0"/>
              <w:right w:val="single" w:color="auto" w:sz="4" w:space="0"/>
            </w:tcBorders>
            <w:vAlign w:val="center"/>
          </w:tcPr>
          <w:p w14:paraId="67159678">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网 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48CE3E6F">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6BC7E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14:paraId="3B1C53AF">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组织结构</w:t>
            </w:r>
          </w:p>
        </w:tc>
        <w:tc>
          <w:tcPr>
            <w:tcW w:w="6840" w:type="dxa"/>
            <w:gridSpan w:val="9"/>
            <w:tcBorders>
              <w:top w:val="single" w:color="auto" w:sz="4" w:space="0"/>
              <w:left w:val="single" w:color="auto" w:sz="4" w:space="0"/>
              <w:bottom w:val="single" w:color="auto" w:sz="4" w:space="0"/>
              <w:right w:val="single" w:color="auto" w:sz="4" w:space="0"/>
            </w:tcBorders>
            <w:vAlign w:val="center"/>
          </w:tcPr>
          <w:p w14:paraId="2892F2DB">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37A33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14:paraId="145363C3">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14:paraId="00A92314">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姓名</w:t>
            </w:r>
          </w:p>
        </w:tc>
        <w:tc>
          <w:tcPr>
            <w:tcW w:w="951" w:type="dxa"/>
            <w:tcBorders>
              <w:top w:val="single" w:color="auto" w:sz="4" w:space="0"/>
              <w:left w:val="single" w:color="auto" w:sz="4" w:space="0"/>
              <w:bottom w:val="single" w:color="auto" w:sz="4" w:space="0"/>
              <w:right w:val="single" w:color="auto" w:sz="4" w:space="0"/>
            </w:tcBorders>
            <w:vAlign w:val="center"/>
          </w:tcPr>
          <w:p w14:paraId="06D55300">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2E46D1F4">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14:paraId="6FCCC010">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860" w:type="dxa"/>
            <w:tcBorders>
              <w:top w:val="single" w:color="auto" w:sz="4" w:space="0"/>
              <w:left w:val="single" w:color="auto" w:sz="4" w:space="0"/>
              <w:bottom w:val="single" w:color="auto" w:sz="4" w:space="0"/>
              <w:right w:val="single" w:color="auto" w:sz="4" w:space="0"/>
            </w:tcBorders>
            <w:vAlign w:val="center"/>
          </w:tcPr>
          <w:p w14:paraId="734B81E5">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电话</w:t>
            </w:r>
          </w:p>
        </w:tc>
        <w:tc>
          <w:tcPr>
            <w:tcW w:w="992" w:type="dxa"/>
            <w:tcBorders>
              <w:top w:val="single" w:color="auto" w:sz="4" w:space="0"/>
              <w:left w:val="single" w:color="auto" w:sz="4" w:space="0"/>
              <w:bottom w:val="single" w:color="auto" w:sz="4" w:space="0"/>
              <w:right w:val="single" w:color="auto" w:sz="4" w:space="0"/>
            </w:tcBorders>
            <w:vAlign w:val="center"/>
          </w:tcPr>
          <w:p w14:paraId="1200E41F">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0441F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vAlign w:val="center"/>
          </w:tcPr>
          <w:p w14:paraId="20121433">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14:paraId="049415D2">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姓名</w:t>
            </w:r>
          </w:p>
        </w:tc>
        <w:tc>
          <w:tcPr>
            <w:tcW w:w="951" w:type="dxa"/>
            <w:tcBorders>
              <w:top w:val="single" w:color="auto" w:sz="4" w:space="0"/>
              <w:left w:val="single" w:color="auto" w:sz="4" w:space="0"/>
              <w:bottom w:val="single" w:color="auto" w:sz="4" w:space="0"/>
              <w:right w:val="single" w:color="auto" w:sz="4" w:space="0"/>
            </w:tcBorders>
            <w:vAlign w:val="center"/>
          </w:tcPr>
          <w:p w14:paraId="7C69FF84">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5C999522">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14:paraId="0F13F4CA">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860" w:type="dxa"/>
            <w:tcBorders>
              <w:top w:val="single" w:color="auto" w:sz="4" w:space="0"/>
              <w:left w:val="single" w:color="auto" w:sz="4" w:space="0"/>
              <w:bottom w:val="single" w:color="auto" w:sz="4" w:space="0"/>
              <w:right w:val="single" w:color="auto" w:sz="4" w:space="0"/>
            </w:tcBorders>
            <w:vAlign w:val="center"/>
          </w:tcPr>
          <w:p w14:paraId="1C37666B">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电话</w:t>
            </w:r>
          </w:p>
        </w:tc>
        <w:tc>
          <w:tcPr>
            <w:tcW w:w="992" w:type="dxa"/>
            <w:tcBorders>
              <w:top w:val="single" w:color="auto" w:sz="4" w:space="0"/>
              <w:left w:val="single" w:color="auto" w:sz="4" w:space="0"/>
              <w:bottom w:val="single" w:color="auto" w:sz="4" w:space="0"/>
              <w:right w:val="single" w:color="auto" w:sz="4" w:space="0"/>
            </w:tcBorders>
            <w:vAlign w:val="center"/>
          </w:tcPr>
          <w:p w14:paraId="26A6970C">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6BA47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14:paraId="018CB8BA">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78863570">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4991" w:type="dxa"/>
            <w:gridSpan w:val="7"/>
            <w:tcBorders>
              <w:top w:val="single" w:color="auto" w:sz="4" w:space="0"/>
              <w:left w:val="single" w:color="auto" w:sz="4" w:space="0"/>
              <w:bottom w:val="single" w:color="auto" w:sz="4" w:space="0"/>
              <w:right w:val="single" w:color="auto" w:sz="4" w:space="0"/>
            </w:tcBorders>
            <w:vAlign w:val="center"/>
          </w:tcPr>
          <w:p w14:paraId="4E0353D4">
            <w:pPr>
              <w:widowControl w:val="0"/>
              <w:kinsoku/>
              <w:topLinePunct/>
              <w:autoSpaceDE/>
              <w:autoSpaceDN/>
              <w:adjustRightInd/>
              <w:snapToGrid/>
              <w:spacing w:line="360" w:lineRule="auto"/>
              <w:ind w:firstLine="120" w:firstLineChars="50"/>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员工总人数：</w:t>
            </w:r>
          </w:p>
        </w:tc>
      </w:tr>
      <w:tr w14:paraId="5B9B6A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14:paraId="0C261705">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195D8842">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14:paraId="2AEBBE47">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其中</w:t>
            </w: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6754D9E7">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项目经理</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555D108D">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1A180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14:paraId="4D13D213">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271697A5">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309B2905">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3A8D6B81">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高级职称人员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680133DB">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25BC1F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14:paraId="58B00A9D">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54F3E0D8">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1B40BAE6">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2D37F3FC">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中级职称人员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0D9AA0BF">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2CA86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14:paraId="09581040">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171C5B61">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2D75CADD">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5E990B80">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初级职称人员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72C44169">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0CEE9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vAlign w:val="center"/>
          </w:tcPr>
          <w:p w14:paraId="6DD7D5CE">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2186B426">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17D99325">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50A47901">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技  工</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7B11BDE7">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r w14:paraId="5882E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728" w:type="dxa"/>
            <w:tcBorders>
              <w:top w:val="single" w:color="auto" w:sz="4" w:space="0"/>
              <w:left w:val="single" w:color="auto" w:sz="4" w:space="0"/>
              <w:right w:val="single" w:color="auto" w:sz="4" w:space="0"/>
            </w:tcBorders>
            <w:vAlign w:val="center"/>
          </w:tcPr>
          <w:p w14:paraId="569D427E">
            <w:pPr>
              <w:widowControl w:val="0"/>
              <w:kinsoku/>
              <w:topLinePunct/>
              <w:autoSpaceDE/>
              <w:autoSpaceDN/>
              <w:adjustRightInd/>
              <w:snapToGrid/>
              <w:spacing w:line="360" w:lineRule="auto"/>
              <w:ind w:firstLine="240" w:firstLineChars="100"/>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经营范围</w:t>
            </w:r>
          </w:p>
        </w:tc>
        <w:tc>
          <w:tcPr>
            <w:tcW w:w="6840" w:type="dxa"/>
            <w:gridSpan w:val="9"/>
            <w:tcBorders>
              <w:top w:val="single" w:color="auto" w:sz="4" w:space="0"/>
              <w:left w:val="single" w:color="auto" w:sz="4" w:space="0"/>
              <w:right w:val="single" w:color="auto" w:sz="4" w:space="0"/>
            </w:tcBorders>
            <w:vAlign w:val="center"/>
          </w:tcPr>
          <w:p w14:paraId="6DAEA741">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p w14:paraId="23F2B734">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p w14:paraId="73083235">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p w14:paraId="11037823">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p w14:paraId="5F1FCD4C">
            <w:pPr>
              <w:widowControl w:val="0"/>
              <w:kinsoku/>
              <w:topLinePunct/>
              <w:autoSpaceDE/>
              <w:autoSpaceDN/>
              <w:adjustRightInd/>
              <w:snapToGrid/>
              <w:spacing w:line="360" w:lineRule="auto"/>
              <w:jc w:val="both"/>
              <w:textAlignment w:val="auto"/>
              <w:rPr>
                <w:rFonts w:ascii="宋体" w:hAnsi="宋体" w:eastAsia="宋体" w:cs="Times New Roman"/>
                <w:snapToGrid/>
                <w:color w:val="auto"/>
                <w:kern w:val="2"/>
                <w:sz w:val="24"/>
                <w:szCs w:val="24"/>
                <w:lang w:eastAsia="zh-CN"/>
              </w:rPr>
            </w:pPr>
          </w:p>
        </w:tc>
      </w:tr>
      <w:tr w14:paraId="1E694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14:paraId="57C7220B">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14:paraId="5F4CC794">
            <w:pPr>
              <w:widowControl w:val="0"/>
              <w:kinsoku/>
              <w:topLinePunct/>
              <w:autoSpaceDE/>
              <w:autoSpaceDN/>
              <w:adjustRightInd/>
              <w:snapToGrid/>
              <w:spacing w:line="360" w:lineRule="auto"/>
              <w:jc w:val="center"/>
              <w:textAlignment w:val="auto"/>
              <w:rPr>
                <w:rFonts w:ascii="宋体" w:hAnsi="宋体" w:eastAsia="宋体" w:cs="Times New Roman"/>
                <w:snapToGrid/>
                <w:color w:val="auto"/>
                <w:kern w:val="2"/>
                <w:sz w:val="24"/>
                <w:szCs w:val="24"/>
                <w:lang w:eastAsia="zh-CN"/>
              </w:rPr>
            </w:pPr>
          </w:p>
        </w:tc>
      </w:tr>
    </w:tbl>
    <w:p w14:paraId="18241B48">
      <w:pPr>
        <w:spacing w:line="360" w:lineRule="auto"/>
        <w:jc w:val="center"/>
        <w:rPr>
          <w:rFonts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注：1.本表后应附企业法人营业执照等所有资格要求证明材料</w:t>
      </w:r>
    </w:p>
    <w:p w14:paraId="1479D0A7">
      <w:pPr>
        <w:kinsoku/>
        <w:autoSpaceDE/>
        <w:autoSpaceDN/>
        <w:adjustRightInd/>
        <w:snapToGrid/>
        <w:textAlignment w:val="auto"/>
        <w:rPr>
          <w:rFonts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br w:type="page"/>
      </w:r>
    </w:p>
    <w:p w14:paraId="14E0FE49">
      <w:pPr>
        <w:spacing w:line="360" w:lineRule="auto"/>
        <w:ind w:firstLine="424" w:firstLineChars="177"/>
        <w:rPr>
          <w:rFonts w:hint="eastAsia" w:ascii="宋体" w:hAnsi="宋体" w:eastAsia="宋体"/>
          <w:color w:val="auto"/>
          <w:sz w:val="24"/>
          <w:szCs w:val="24"/>
          <w:lang w:val="zh-CN" w:eastAsia="zh-CN"/>
        </w:rPr>
      </w:pPr>
      <w:r>
        <w:rPr>
          <w:rFonts w:hint="eastAsia" w:ascii="宋体" w:hAnsi="宋体" w:eastAsia="宋体"/>
          <w:color w:val="auto"/>
          <w:sz w:val="24"/>
          <w:szCs w:val="24"/>
          <w:lang w:val="en-US" w:eastAsia="zh-CN"/>
        </w:rPr>
        <w:t>1、</w:t>
      </w:r>
      <w:r>
        <w:rPr>
          <w:rFonts w:hint="eastAsia" w:ascii="宋体" w:hAnsi="宋体" w:eastAsia="宋体"/>
          <w:color w:val="auto"/>
          <w:sz w:val="24"/>
          <w:szCs w:val="24"/>
          <w:lang w:val="zh-CN" w:eastAsia="zh-CN"/>
        </w:rPr>
        <w:t>具有独立承担民事责任的能力；（提供法人或者其他组织的营业执照等证明文件）；</w:t>
      </w:r>
    </w:p>
    <w:p w14:paraId="02860767">
      <w:pPr>
        <w:spacing w:line="360" w:lineRule="auto"/>
        <w:ind w:firstLine="424" w:firstLineChars="177"/>
        <w:rPr>
          <w:rFonts w:hint="eastAsia" w:ascii="宋体" w:hAnsi="宋体" w:eastAsia="宋体"/>
          <w:color w:val="auto"/>
          <w:sz w:val="24"/>
          <w:szCs w:val="24"/>
          <w:lang w:val="zh-CN" w:eastAsia="zh-CN"/>
        </w:rPr>
      </w:pPr>
      <w:r>
        <w:rPr>
          <w:rFonts w:hint="eastAsia" w:ascii="宋体" w:hAnsi="宋体" w:eastAsia="宋体"/>
          <w:color w:val="auto"/>
          <w:sz w:val="24"/>
          <w:szCs w:val="24"/>
          <w:lang w:val="en-US" w:eastAsia="zh-CN"/>
        </w:rPr>
        <w:t>2、</w:t>
      </w:r>
      <w:r>
        <w:rPr>
          <w:rFonts w:hint="eastAsia" w:ascii="宋体" w:hAnsi="宋体" w:eastAsia="宋体"/>
          <w:color w:val="auto"/>
          <w:sz w:val="24"/>
          <w:szCs w:val="24"/>
          <w:lang w:val="zh-CN" w:eastAsia="zh-CN"/>
        </w:rPr>
        <w:t>具有良好的商业信誉和健全的财务会计制度（提供2023年度经审计的财务审计报告或基本户银行开具的资信证明）；</w:t>
      </w:r>
    </w:p>
    <w:p w14:paraId="6C027BE1">
      <w:pPr>
        <w:spacing w:line="360" w:lineRule="auto"/>
        <w:ind w:firstLine="424" w:firstLineChars="177"/>
        <w:rPr>
          <w:rFonts w:hint="eastAsia" w:ascii="宋体" w:hAnsi="宋体" w:eastAsia="宋体"/>
          <w:color w:val="auto"/>
          <w:sz w:val="24"/>
          <w:szCs w:val="24"/>
          <w:lang w:val="zh-CN" w:eastAsia="zh-CN"/>
        </w:rPr>
      </w:pPr>
      <w:r>
        <w:rPr>
          <w:rFonts w:hint="eastAsia" w:ascii="宋体" w:hAnsi="宋体" w:eastAsia="宋体"/>
          <w:color w:val="auto"/>
          <w:sz w:val="24"/>
          <w:szCs w:val="24"/>
          <w:lang w:val="en-US" w:eastAsia="zh-CN"/>
        </w:rPr>
        <w:t>3、</w:t>
      </w:r>
      <w:r>
        <w:rPr>
          <w:rFonts w:hint="eastAsia" w:ascii="宋体" w:hAnsi="宋体" w:eastAsia="宋体"/>
          <w:color w:val="auto"/>
          <w:sz w:val="24"/>
          <w:szCs w:val="24"/>
          <w:lang w:val="zh-CN" w:eastAsia="zh-CN"/>
        </w:rPr>
        <w:t>具有履行合同所必需的设备和专业技术能力（提供承诺书，格式自拟）；</w:t>
      </w:r>
    </w:p>
    <w:p w14:paraId="40CA3316">
      <w:pPr>
        <w:spacing w:line="360" w:lineRule="auto"/>
        <w:ind w:firstLine="424" w:firstLineChars="177"/>
        <w:rPr>
          <w:rFonts w:hint="eastAsia" w:ascii="宋体" w:hAnsi="宋体" w:eastAsia="宋体"/>
          <w:color w:val="auto"/>
          <w:sz w:val="24"/>
          <w:szCs w:val="24"/>
          <w:lang w:val="zh-CN" w:eastAsia="zh-CN"/>
        </w:rPr>
      </w:pPr>
      <w:r>
        <w:rPr>
          <w:rFonts w:hint="eastAsia" w:ascii="宋体" w:hAnsi="宋体" w:eastAsia="宋体"/>
          <w:color w:val="auto"/>
          <w:sz w:val="24"/>
          <w:szCs w:val="24"/>
          <w:lang w:val="en-US" w:eastAsia="zh-CN"/>
        </w:rPr>
        <w:t>4、</w:t>
      </w:r>
      <w:r>
        <w:rPr>
          <w:rFonts w:hint="eastAsia" w:ascii="宋体" w:hAnsi="宋体" w:eastAsia="宋体"/>
          <w:color w:val="auto"/>
          <w:sz w:val="24"/>
          <w:szCs w:val="24"/>
          <w:lang w:val="zh-CN" w:eastAsia="zh-CN"/>
        </w:rPr>
        <w:t>有依法缴纳税收和社会保障资金的良好记录（提供202</w:t>
      </w:r>
      <w:r>
        <w:rPr>
          <w:rFonts w:hint="eastAsia" w:ascii="宋体" w:hAnsi="宋体" w:eastAsia="宋体"/>
          <w:color w:val="auto"/>
          <w:sz w:val="24"/>
          <w:szCs w:val="24"/>
          <w:lang w:val="en-US" w:eastAsia="zh-CN"/>
        </w:rPr>
        <w:t>4</w:t>
      </w:r>
      <w:r>
        <w:rPr>
          <w:rFonts w:hint="eastAsia" w:ascii="宋体" w:hAnsi="宋体" w:eastAsia="宋体"/>
          <w:color w:val="auto"/>
          <w:sz w:val="24"/>
          <w:szCs w:val="24"/>
          <w:lang w:val="zh-CN" w:eastAsia="zh-CN"/>
        </w:rPr>
        <w:t>年</w:t>
      </w:r>
      <w:r>
        <w:rPr>
          <w:rFonts w:hint="eastAsia" w:ascii="宋体" w:hAnsi="宋体" w:eastAsia="宋体"/>
          <w:color w:val="auto"/>
          <w:sz w:val="24"/>
          <w:szCs w:val="24"/>
          <w:lang w:val="en-US" w:eastAsia="zh-CN"/>
        </w:rPr>
        <w:t>1</w:t>
      </w:r>
      <w:r>
        <w:rPr>
          <w:rFonts w:hint="eastAsia" w:ascii="宋体" w:hAnsi="宋体" w:eastAsia="宋体"/>
          <w:color w:val="auto"/>
          <w:sz w:val="24"/>
          <w:szCs w:val="24"/>
          <w:lang w:val="zh-CN" w:eastAsia="zh-CN"/>
        </w:rPr>
        <w:t>月1日以来任意1个月的依法纳税和社会保障资金缴纳证明（银行扣款回单或税局开具的凭据或缴纳清单等，依法免税或不需要缴纳社会保障资金企业，应提供相关证明文件））；</w:t>
      </w:r>
    </w:p>
    <w:p w14:paraId="6FB18C62">
      <w:pPr>
        <w:spacing w:line="360" w:lineRule="auto"/>
        <w:ind w:firstLine="424" w:firstLineChars="177"/>
        <w:rPr>
          <w:rFonts w:hint="eastAsia" w:ascii="宋体" w:hAnsi="宋体" w:eastAsia="宋体"/>
          <w:color w:val="auto"/>
          <w:sz w:val="24"/>
          <w:szCs w:val="24"/>
          <w:lang w:val="zh-CN" w:eastAsia="zh-CN"/>
        </w:rPr>
      </w:pPr>
      <w:r>
        <w:rPr>
          <w:rFonts w:hint="eastAsia" w:ascii="宋体" w:hAnsi="宋体" w:eastAsia="宋体"/>
          <w:color w:val="auto"/>
          <w:sz w:val="24"/>
          <w:szCs w:val="24"/>
          <w:lang w:val="en-US" w:eastAsia="zh-CN"/>
        </w:rPr>
        <w:t>5、</w:t>
      </w:r>
      <w:r>
        <w:rPr>
          <w:rFonts w:hint="eastAsia" w:ascii="宋体" w:hAnsi="宋体" w:eastAsia="宋体"/>
          <w:color w:val="auto"/>
          <w:sz w:val="24"/>
          <w:szCs w:val="24"/>
          <w:lang w:val="zh-CN" w:eastAsia="zh-CN"/>
        </w:rPr>
        <w:t>参加政府采购活动前三年内，在经营活动中没有重大违法记录（提供承诺书，格式自拟）；</w:t>
      </w:r>
    </w:p>
    <w:p w14:paraId="34A13E68">
      <w:pPr>
        <w:spacing w:line="360" w:lineRule="auto"/>
        <w:ind w:firstLine="424" w:firstLineChars="177"/>
        <w:rPr>
          <w:rFonts w:hint="eastAsia" w:ascii="宋体" w:hAnsi="宋体" w:eastAsia="宋体"/>
          <w:color w:val="auto"/>
          <w:sz w:val="24"/>
          <w:szCs w:val="24"/>
          <w:lang w:eastAsia="zh-CN"/>
        </w:rPr>
      </w:pPr>
      <w:r>
        <w:rPr>
          <w:rFonts w:hint="eastAsia" w:ascii="宋体" w:hAnsi="宋体" w:eastAsia="宋体"/>
          <w:color w:val="auto"/>
          <w:sz w:val="24"/>
          <w:szCs w:val="24"/>
          <w:lang w:val="en-US" w:eastAsia="zh-CN"/>
        </w:rPr>
        <w:t>6、</w:t>
      </w:r>
      <w:r>
        <w:rPr>
          <w:rFonts w:hint="eastAsia" w:ascii="宋体" w:hAnsi="宋体" w:eastAsia="宋体"/>
          <w:color w:val="auto"/>
          <w:sz w:val="24"/>
          <w:szCs w:val="24"/>
          <w:lang w:eastAsia="zh-CN"/>
        </w:rPr>
        <w:t>信誉要求：</w:t>
      </w:r>
      <w:r>
        <w:rPr>
          <w:rFonts w:hint="eastAsia" w:ascii="宋体" w:hAnsi="宋体" w:eastAsia="宋体"/>
          <w:color w:val="auto"/>
          <w:sz w:val="24"/>
          <w:szCs w:val="24"/>
          <w:lang w:val="zh-CN" w:eastAsia="zh-CN"/>
        </w:rPr>
        <w:t>对列入失信被执行人、重大税收违法案件当事人名单（重大税收违法失信主体）、政府采购严重违法失信行为记录名单的投标人，拒绝参与本项目政府采购活动</w:t>
      </w:r>
      <w:r>
        <w:rPr>
          <w:rFonts w:hint="eastAsia" w:ascii="宋体" w:hAnsi="宋体" w:eastAsia="宋体"/>
          <w:color w:val="auto"/>
          <w:sz w:val="24"/>
          <w:szCs w:val="24"/>
          <w:lang w:eastAsia="zh-CN"/>
        </w:rPr>
        <w:t>。投标人应将查询截图附到响应文件中，开标时采购人根据需要自行核查，如核查情况与响应文件不一致时，以采购人现场核查结果为准【查询渠道：“信用中国”网站（www.creditchina.gov.cn）和中国政府采购网（</w:t>
      </w:r>
      <w:r>
        <w:rPr>
          <w:rFonts w:hint="eastAsia" w:ascii="宋体" w:hAnsi="宋体" w:eastAsia="宋体"/>
          <w:color w:val="auto"/>
          <w:sz w:val="24"/>
          <w:szCs w:val="24"/>
          <w:lang w:eastAsia="zh-CN"/>
        </w:rPr>
        <w:fldChar w:fldCharType="begin"/>
      </w:r>
      <w:r>
        <w:rPr>
          <w:rFonts w:hint="eastAsia" w:ascii="宋体" w:hAnsi="宋体" w:eastAsia="宋体"/>
          <w:color w:val="auto"/>
          <w:sz w:val="24"/>
          <w:szCs w:val="24"/>
          <w:lang w:eastAsia="zh-CN"/>
        </w:rPr>
        <w:instrText xml:space="preserve"> HYPERLINK "http://www.ccgp.gov.cn）】"</w:instrText>
      </w:r>
      <w:r>
        <w:rPr>
          <w:rFonts w:hint="eastAsia" w:ascii="宋体" w:hAnsi="宋体" w:eastAsia="宋体"/>
          <w:color w:val="auto"/>
          <w:sz w:val="24"/>
          <w:szCs w:val="24"/>
          <w:lang w:eastAsia="zh-CN"/>
        </w:rPr>
        <w:fldChar w:fldCharType="separate"/>
      </w:r>
      <w:r>
        <w:rPr>
          <w:rFonts w:hint="eastAsia" w:ascii="宋体" w:hAnsi="宋体" w:eastAsia="宋体"/>
          <w:color w:val="auto"/>
          <w:sz w:val="24"/>
          <w:szCs w:val="24"/>
          <w:lang w:eastAsia="zh-CN"/>
        </w:rPr>
        <w:t>www.ccgp.gov.cn）】</w:t>
      </w:r>
      <w:r>
        <w:rPr>
          <w:rFonts w:hint="eastAsia" w:ascii="宋体" w:hAnsi="宋体" w:eastAsia="宋体"/>
          <w:color w:val="auto"/>
          <w:sz w:val="24"/>
          <w:szCs w:val="24"/>
          <w:lang w:eastAsia="zh-CN"/>
        </w:rPr>
        <w:fldChar w:fldCharType="end"/>
      </w:r>
      <w:r>
        <w:rPr>
          <w:rFonts w:hint="eastAsia" w:ascii="宋体" w:hAnsi="宋体" w:eastAsia="宋体"/>
          <w:color w:val="auto"/>
          <w:sz w:val="24"/>
          <w:szCs w:val="24"/>
          <w:lang w:eastAsia="zh-CN"/>
        </w:rPr>
        <w:t>；</w:t>
      </w:r>
    </w:p>
    <w:p w14:paraId="3B43215E">
      <w:pPr>
        <w:spacing w:line="360" w:lineRule="auto"/>
        <w:ind w:left="-199" w:leftChars="-95" w:firstLine="621" w:firstLineChars="259"/>
        <w:rPr>
          <w:rFonts w:ascii="宋体" w:hAnsi="宋体" w:eastAsia="宋体"/>
          <w:color w:val="auto"/>
          <w:sz w:val="24"/>
          <w:szCs w:val="24"/>
          <w:lang w:eastAsia="zh-CN"/>
        </w:rPr>
      </w:pPr>
      <w:r>
        <w:rPr>
          <w:rFonts w:hint="eastAsia" w:ascii="宋体" w:hAnsi="宋体" w:eastAsia="宋体"/>
          <w:color w:val="auto"/>
          <w:sz w:val="24"/>
          <w:szCs w:val="24"/>
          <w:lang w:val="en-US" w:eastAsia="zh-CN"/>
        </w:rPr>
        <w:t>7、</w:t>
      </w:r>
      <w:r>
        <w:rPr>
          <w:rFonts w:hint="eastAsia" w:ascii="宋体" w:hAnsi="宋体" w:eastAsia="宋体"/>
          <w:color w:val="auto"/>
          <w:sz w:val="24"/>
          <w:szCs w:val="24"/>
          <w:lang w:eastAsia="zh-CN"/>
        </w:rPr>
        <w:t>企业资质要求：供应商须具有建设行政主管部门颁发的建筑工程施工总承包叁级或装饰装修工程专业承包贰级及以上资质，具有有效的安全生产许可证；</w:t>
      </w:r>
    </w:p>
    <w:p w14:paraId="1128A169">
      <w:pPr>
        <w:spacing w:line="360" w:lineRule="auto"/>
        <w:ind w:firstLine="424" w:firstLineChars="177"/>
        <w:rPr>
          <w:rFonts w:ascii="宋体" w:hAnsi="宋体" w:eastAsia="宋体"/>
          <w:color w:val="auto"/>
          <w:sz w:val="24"/>
          <w:szCs w:val="24"/>
          <w:lang w:eastAsia="zh-CN"/>
        </w:rPr>
      </w:pPr>
      <w:r>
        <w:rPr>
          <w:rFonts w:hint="eastAsia" w:ascii="宋体" w:hAnsi="宋体" w:eastAsia="宋体"/>
          <w:color w:val="auto"/>
          <w:sz w:val="24"/>
          <w:szCs w:val="24"/>
          <w:lang w:val="en-US" w:eastAsia="zh-CN"/>
        </w:rPr>
        <w:t>8、</w:t>
      </w:r>
      <w:r>
        <w:rPr>
          <w:rFonts w:hint="eastAsia" w:ascii="宋体" w:hAnsi="宋体" w:eastAsia="宋体"/>
          <w:color w:val="auto"/>
          <w:sz w:val="24"/>
          <w:szCs w:val="24"/>
          <w:lang w:eastAsia="zh-CN"/>
        </w:rPr>
        <w:t>拟派项目经理要求：供应商拟派项目经理须具有建设部门颁发的建筑工程专业贰级（含）以上注册建造师资格（不含临时建造师）,具备有效的安全生产考核合格证书，且未担任其他在施建设工程项目的项目经理，为供应商正式在职人员（具有劳动合同和依法缴纳社保的相关材料）；</w:t>
      </w:r>
    </w:p>
    <w:p w14:paraId="6EF17572">
      <w:pPr>
        <w:spacing w:line="360" w:lineRule="auto"/>
        <w:ind w:firstLine="424" w:firstLineChars="177"/>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9、</w:t>
      </w:r>
      <w:r>
        <w:rPr>
          <w:rFonts w:hint="eastAsia" w:ascii="宋体" w:hAnsi="宋体" w:eastAsia="宋体"/>
          <w:color w:val="auto"/>
          <w:sz w:val="24"/>
          <w:szCs w:val="24"/>
          <w:lang w:eastAsia="zh-CN"/>
        </w:rPr>
        <w:t>其他要求：</w:t>
      </w:r>
      <w:r>
        <w:rPr>
          <w:rFonts w:hint="eastAsia" w:ascii="宋体" w:hAnsi="宋体" w:eastAsia="宋体"/>
          <w:color w:val="auto"/>
          <w:sz w:val="24"/>
          <w:szCs w:val="24"/>
          <w:lang w:val="en-US" w:eastAsia="zh-CN"/>
        </w:rPr>
        <w:t>单位负责人为同一人或者存在直接控股、管理关系的不同投标人，不得参加同一合同项下的政府采购活动，提供声明函；</w:t>
      </w:r>
    </w:p>
    <w:p w14:paraId="67CBD63D">
      <w:pPr>
        <w:spacing w:line="360" w:lineRule="auto"/>
        <w:ind w:firstLine="424" w:firstLineChars="177"/>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10、</w:t>
      </w:r>
      <w:r>
        <w:rPr>
          <w:rFonts w:hint="eastAsia" w:ascii="宋体" w:hAnsi="宋体" w:eastAsia="宋体" w:cs="宋体"/>
          <w:color w:val="auto"/>
          <w:spacing w:val="-5"/>
          <w:sz w:val="24"/>
          <w:szCs w:val="24"/>
          <w:lang w:val="en-US" w:eastAsia="zh-CN"/>
        </w:rPr>
        <w:t>本次招标不接受联合体投标。</w:t>
      </w:r>
    </w:p>
    <w:p w14:paraId="7BC901A8">
      <w:pPr>
        <w:spacing w:line="360" w:lineRule="auto"/>
        <w:rPr>
          <w:rFonts w:ascii="宋体" w:hAnsi="宋体" w:eastAsia="宋体"/>
          <w:color w:val="auto"/>
          <w:sz w:val="24"/>
          <w:szCs w:val="24"/>
          <w:lang w:eastAsia="zh-CN"/>
        </w:rPr>
      </w:pPr>
    </w:p>
    <w:p w14:paraId="52D9C354">
      <w:pPr>
        <w:kinsoku/>
        <w:autoSpaceDE/>
        <w:autoSpaceDN/>
        <w:adjustRightInd/>
        <w:snapToGrid/>
        <w:jc w:val="both"/>
        <w:textAlignment w:val="auto"/>
        <w:rPr>
          <w:rFonts w:ascii="宋体" w:hAnsi="宋体" w:eastAsia="宋体"/>
          <w:b/>
          <w:color w:val="auto"/>
          <w:sz w:val="24"/>
          <w:szCs w:val="24"/>
          <w:lang w:eastAsia="zh-CN"/>
        </w:rPr>
      </w:pPr>
    </w:p>
    <w:p w14:paraId="4E08B27C">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7C9B5B21">
      <w:pPr>
        <w:kinsoku/>
        <w:autoSpaceDE/>
        <w:autoSpaceDN/>
        <w:adjustRightInd/>
        <w:snapToGrid/>
        <w:jc w:val="center"/>
        <w:textAlignment w:val="auto"/>
        <w:rPr>
          <w:rFonts w:ascii="宋体" w:hAnsi="宋体" w:eastAsia="宋体"/>
          <w:b/>
          <w:color w:val="auto"/>
          <w:sz w:val="24"/>
          <w:szCs w:val="24"/>
          <w:lang w:eastAsia="zh-CN"/>
        </w:rPr>
      </w:pPr>
      <w:r>
        <w:rPr>
          <w:b/>
          <w:color w:val="auto"/>
          <w:spacing w:val="-4"/>
          <w:sz w:val="24"/>
          <w:szCs w:val="24"/>
          <w:lang w:eastAsia="zh-CN"/>
        </w:rPr>
        <w:t>五、</w:t>
      </w:r>
      <w:r>
        <w:rPr>
          <w:rFonts w:hint="eastAsia"/>
          <w:b/>
          <w:color w:val="auto"/>
          <w:spacing w:val="-4"/>
          <w:sz w:val="24"/>
          <w:szCs w:val="24"/>
          <w:lang w:eastAsia="zh-CN"/>
        </w:rPr>
        <w:t>项目报价表</w:t>
      </w:r>
    </w:p>
    <w:p w14:paraId="2CD1F681">
      <w:pPr>
        <w:spacing w:line="360" w:lineRule="auto"/>
        <w:jc w:val="center"/>
        <w:rPr>
          <w:rFonts w:hint="eastAsia" w:ascii="宋体" w:hAnsi="宋体" w:eastAsia="宋体"/>
          <w:b/>
          <w:color w:val="auto"/>
          <w:sz w:val="24"/>
          <w:szCs w:val="24"/>
          <w:lang w:eastAsia="zh-CN"/>
        </w:rPr>
      </w:pPr>
    </w:p>
    <w:p w14:paraId="7F5F5E9E">
      <w:pPr>
        <w:pStyle w:val="8"/>
        <w:numPr>
          <w:ilvl w:val="0"/>
          <w:numId w:val="0"/>
        </w:numPr>
        <w:jc w:val="center"/>
        <w:rPr>
          <w:rFonts w:hint="default"/>
          <w:b/>
          <w:color w:val="auto"/>
          <w:sz w:val="24"/>
          <w:szCs w:val="24"/>
          <w:lang w:val="en-US" w:eastAsia="zh-CN"/>
        </w:rPr>
      </w:pPr>
      <w:r>
        <w:rPr>
          <w:rFonts w:hint="eastAsia" w:ascii="宋体" w:hAnsi="宋体" w:eastAsia="宋体" w:cs="宋体"/>
          <w:b/>
          <w:snapToGrid w:val="0"/>
          <w:color w:val="auto"/>
          <w:kern w:val="0"/>
          <w:sz w:val="24"/>
          <w:szCs w:val="24"/>
          <w:lang w:val="en-US" w:eastAsia="zh-CN" w:bidi="ar-SA"/>
        </w:rPr>
        <w:t>（一）</w:t>
      </w:r>
      <w:r>
        <w:rPr>
          <w:rFonts w:hint="eastAsia"/>
          <w:b/>
          <w:color w:val="auto"/>
          <w:sz w:val="24"/>
          <w:szCs w:val="24"/>
          <w:lang w:val="en-US" w:eastAsia="zh-CN"/>
        </w:rPr>
        <w:t>已标价工程量清单</w:t>
      </w:r>
    </w:p>
    <w:p w14:paraId="12FA60A2">
      <w:pPr>
        <w:rPr>
          <w:rFonts w:hint="eastAsia"/>
          <w:color w:val="auto"/>
          <w:lang w:eastAsia="zh-CN"/>
        </w:rPr>
      </w:pPr>
    </w:p>
    <w:p w14:paraId="4FCC4AC3">
      <w:pPr>
        <w:spacing w:line="360" w:lineRule="auto"/>
        <w:jc w:val="center"/>
        <w:rPr>
          <w:rFonts w:ascii="宋体" w:hAnsi="宋体" w:eastAsia="宋体"/>
          <w:b/>
          <w:color w:val="auto"/>
          <w:sz w:val="24"/>
          <w:szCs w:val="24"/>
          <w:lang w:eastAsia="zh-CN"/>
        </w:rPr>
      </w:pPr>
    </w:p>
    <w:p w14:paraId="6C5006B8">
      <w:pPr>
        <w:spacing w:line="360" w:lineRule="auto"/>
        <w:rPr>
          <w:rFonts w:asciiTheme="minorEastAsia" w:hAnsiTheme="minorEastAsia"/>
          <w:color w:val="auto"/>
          <w:sz w:val="24"/>
          <w:szCs w:val="24"/>
          <w:lang w:eastAsia="zh-CN"/>
        </w:rPr>
      </w:pPr>
    </w:p>
    <w:p w14:paraId="2066D072">
      <w:pPr>
        <w:rPr>
          <w:rFonts w:hint="eastAsia" w:ascii="宋体" w:hAnsi="宋体" w:eastAsia="宋体" w:cs="宋体"/>
          <w:b/>
          <w:snapToGrid w:val="0"/>
          <w:color w:val="auto"/>
          <w:kern w:val="0"/>
          <w:sz w:val="24"/>
          <w:szCs w:val="24"/>
          <w:lang w:val="en-US" w:eastAsia="zh-CN" w:bidi="ar-SA"/>
        </w:rPr>
      </w:pPr>
      <w:r>
        <w:rPr>
          <w:rFonts w:hint="eastAsia" w:ascii="宋体" w:hAnsi="宋体" w:eastAsia="宋体" w:cs="宋体"/>
          <w:b/>
          <w:snapToGrid w:val="0"/>
          <w:color w:val="auto"/>
          <w:kern w:val="0"/>
          <w:sz w:val="24"/>
          <w:szCs w:val="24"/>
          <w:lang w:val="en-US" w:eastAsia="zh-CN" w:bidi="ar-SA"/>
        </w:rPr>
        <w:br w:type="page"/>
      </w:r>
    </w:p>
    <w:p w14:paraId="006ECF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snapToGrid w:val="0"/>
          <w:color w:val="auto"/>
          <w:kern w:val="0"/>
          <w:sz w:val="24"/>
          <w:szCs w:val="24"/>
          <w:lang w:val="en-US" w:eastAsia="zh-CN" w:bidi="ar-SA"/>
        </w:rPr>
      </w:pPr>
      <w:r>
        <w:rPr>
          <w:rFonts w:hint="eastAsia" w:ascii="宋体" w:hAnsi="宋体" w:eastAsia="宋体" w:cs="宋体"/>
          <w:b/>
          <w:snapToGrid w:val="0"/>
          <w:color w:val="auto"/>
          <w:kern w:val="0"/>
          <w:sz w:val="24"/>
          <w:szCs w:val="24"/>
          <w:lang w:val="en-US" w:eastAsia="zh-CN" w:bidi="ar-SA"/>
        </w:rPr>
        <w:t>（二）单价报价表</w:t>
      </w:r>
    </w:p>
    <w:p w14:paraId="2299CEB0">
      <w:pPr>
        <w:pStyle w:val="8"/>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b w:val="0"/>
          <w:bCs w:val="0"/>
          <w:color w:val="auto"/>
          <w:sz w:val="24"/>
          <w:szCs w:val="24"/>
          <w:lang w:val="zh-CN" w:eastAsia="zh-CN"/>
        </w:rPr>
      </w:pPr>
      <w:r>
        <w:rPr>
          <w:rFonts w:hint="eastAsia"/>
          <w:b w:val="0"/>
          <w:bCs w:val="0"/>
          <w:color w:val="auto"/>
          <w:sz w:val="24"/>
          <w:szCs w:val="24"/>
          <w:lang w:val="zh-CN" w:eastAsia="zh-CN"/>
        </w:rPr>
        <w:t>供应商根据技术标准及要求列出完成本项目可能涉及到的主要材料等内容。</w:t>
      </w:r>
    </w:p>
    <w:p w14:paraId="5F9D19DF">
      <w:pPr>
        <w:pStyle w:val="8"/>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b w:val="0"/>
          <w:bCs w:val="0"/>
          <w:color w:val="auto"/>
          <w:sz w:val="24"/>
          <w:szCs w:val="24"/>
          <w:lang w:val="zh-CN" w:eastAsia="zh-CN"/>
        </w:rPr>
      </w:pPr>
      <w:r>
        <w:rPr>
          <w:rFonts w:hint="eastAsia"/>
          <w:b w:val="0"/>
          <w:bCs w:val="0"/>
          <w:color w:val="auto"/>
          <w:sz w:val="24"/>
          <w:szCs w:val="24"/>
          <w:lang w:val="zh-CN" w:eastAsia="zh-CN"/>
        </w:rPr>
        <w:t>主要材料需列明：品牌、规格型号、原产地、制造商、单位、单价等内容。</w:t>
      </w:r>
    </w:p>
    <w:p w14:paraId="020686C3">
      <w:pPr>
        <w:pStyle w:val="8"/>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color w:val="auto"/>
          <w:sz w:val="24"/>
          <w:szCs w:val="24"/>
          <w:lang w:eastAsia="zh-CN"/>
        </w:rPr>
      </w:pPr>
      <w:r>
        <w:rPr>
          <w:rFonts w:hint="eastAsia"/>
          <w:b/>
          <w:bCs/>
          <w:color w:val="auto"/>
          <w:sz w:val="24"/>
          <w:szCs w:val="24"/>
          <w:lang w:val="zh-CN" w:eastAsia="zh-CN"/>
        </w:rPr>
        <w:t>（自行列表，格式自拟）</w:t>
      </w:r>
    </w:p>
    <w:p w14:paraId="364C20A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color w:val="auto"/>
          <w:sz w:val="24"/>
          <w:szCs w:val="24"/>
          <w:lang w:eastAsia="zh-CN"/>
        </w:rPr>
      </w:pPr>
    </w:p>
    <w:p w14:paraId="58C05DAB">
      <w:pPr>
        <w:spacing w:line="360" w:lineRule="auto"/>
        <w:rPr>
          <w:rFonts w:asciiTheme="minorEastAsia" w:hAnsiTheme="minorEastAsia"/>
          <w:color w:val="auto"/>
          <w:sz w:val="24"/>
          <w:szCs w:val="24"/>
          <w:lang w:eastAsia="zh-CN"/>
        </w:rPr>
      </w:pPr>
    </w:p>
    <w:p w14:paraId="36DC2F57">
      <w:pPr>
        <w:spacing w:line="360" w:lineRule="auto"/>
        <w:rPr>
          <w:rFonts w:asciiTheme="minorEastAsia" w:hAnsiTheme="minorEastAsia"/>
          <w:color w:val="auto"/>
          <w:sz w:val="24"/>
          <w:szCs w:val="24"/>
          <w:lang w:eastAsia="zh-CN"/>
        </w:rPr>
      </w:pPr>
    </w:p>
    <w:p w14:paraId="4331508D">
      <w:pPr>
        <w:spacing w:line="360" w:lineRule="auto"/>
        <w:rPr>
          <w:rFonts w:asciiTheme="minorEastAsia" w:hAnsiTheme="minorEastAsia"/>
          <w:color w:val="auto"/>
          <w:sz w:val="24"/>
          <w:szCs w:val="24"/>
          <w:lang w:eastAsia="zh-CN"/>
        </w:rPr>
      </w:pPr>
    </w:p>
    <w:p w14:paraId="17AD8C95">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供应商：</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（盖章）</w:t>
      </w:r>
    </w:p>
    <w:p w14:paraId="75868FF3">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法定代表人或其委托代理人：</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（签字或盖章）</w:t>
      </w:r>
    </w:p>
    <w:p w14:paraId="5A598893">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日期：</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年</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月</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日</w:t>
      </w:r>
    </w:p>
    <w:p w14:paraId="7F37B136">
      <w:pPr>
        <w:kinsoku/>
        <w:autoSpaceDE/>
        <w:autoSpaceDN/>
        <w:adjustRightInd/>
        <w:snapToGrid/>
        <w:textAlignment w:val="auto"/>
        <w:rPr>
          <w:rFonts w:ascii="宋体" w:hAnsi="宋体" w:eastAsia="宋体"/>
          <w:b/>
          <w:color w:val="auto"/>
          <w:sz w:val="24"/>
          <w:szCs w:val="24"/>
          <w:lang w:eastAsia="zh-CN"/>
        </w:rPr>
      </w:pPr>
      <w:r>
        <w:rPr>
          <w:rFonts w:ascii="宋体" w:hAnsi="宋体" w:eastAsia="宋体"/>
          <w:b/>
          <w:color w:val="auto"/>
          <w:sz w:val="24"/>
          <w:szCs w:val="24"/>
          <w:lang w:eastAsia="zh-CN"/>
        </w:rPr>
        <w:br w:type="page"/>
      </w:r>
    </w:p>
    <w:p w14:paraId="697E7A8F">
      <w:pPr>
        <w:rPr>
          <w:rFonts w:hint="eastAsia" w:ascii="宋体" w:hAnsi="宋体" w:eastAsia="宋体"/>
          <w:b/>
          <w:color w:val="auto"/>
          <w:sz w:val="24"/>
          <w:szCs w:val="24"/>
          <w:lang w:eastAsia="zh-CN"/>
        </w:rPr>
      </w:pPr>
    </w:p>
    <w:p w14:paraId="3A5CF4EA">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六、施工组织设计</w:t>
      </w:r>
    </w:p>
    <w:p w14:paraId="16392DA5">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（格式自拟）</w:t>
      </w:r>
    </w:p>
    <w:p w14:paraId="0FD8E595">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525265CE">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七、项目管理机构</w:t>
      </w:r>
    </w:p>
    <w:p w14:paraId="334D86DD">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（一）项目管理机构组成表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26"/>
        <w:gridCol w:w="889"/>
        <w:gridCol w:w="1271"/>
        <w:gridCol w:w="900"/>
        <w:gridCol w:w="1440"/>
        <w:gridCol w:w="1080"/>
        <w:gridCol w:w="1328"/>
        <w:gridCol w:w="806"/>
      </w:tblGrid>
      <w:tr w14:paraId="05D1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vMerge w:val="restart"/>
            <w:tcBorders>
              <w:top w:val="single" w:color="auto" w:sz="4" w:space="0"/>
              <w:left w:val="single" w:color="auto" w:sz="4" w:space="0"/>
              <w:bottom w:val="single" w:color="auto" w:sz="4" w:space="0"/>
              <w:right w:val="single" w:color="auto" w:sz="4" w:space="0"/>
            </w:tcBorders>
            <w:vAlign w:val="center"/>
          </w:tcPr>
          <w:p w14:paraId="070497C8">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职务</w:t>
            </w:r>
          </w:p>
        </w:tc>
        <w:tc>
          <w:tcPr>
            <w:tcW w:w="726" w:type="dxa"/>
            <w:vMerge w:val="restart"/>
            <w:tcBorders>
              <w:top w:val="single" w:color="auto" w:sz="4" w:space="0"/>
              <w:left w:val="single" w:color="auto" w:sz="4" w:space="0"/>
              <w:bottom w:val="single" w:color="auto" w:sz="4" w:space="0"/>
              <w:right w:val="single" w:color="auto" w:sz="4" w:space="0"/>
            </w:tcBorders>
            <w:vAlign w:val="center"/>
          </w:tcPr>
          <w:p w14:paraId="0205634C">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姓名</w:t>
            </w:r>
          </w:p>
        </w:tc>
        <w:tc>
          <w:tcPr>
            <w:tcW w:w="889" w:type="dxa"/>
            <w:vMerge w:val="restart"/>
            <w:tcBorders>
              <w:top w:val="single" w:color="auto" w:sz="4" w:space="0"/>
              <w:left w:val="single" w:color="auto" w:sz="4" w:space="0"/>
              <w:bottom w:val="single" w:color="auto" w:sz="4" w:space="0"/>
              <w:right w:val="single" w:color="auto" w:sz="4" w:space="0"/>
            </w:tcBorders>
            <w:vAlign w:val="center"/>
          </w:tcPr>
          <w:p w14:paraId="5E5C1444">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职称</w:t>
            </w:r>
          </w:p>
        </w:tc>
        <w:tc>
          <w:tcPr>
            <w:tcW w:w="6019" w:type="dxa"/>
            <w:gridSpan w:val="5"/>
            <w:tcBorders>
              <w:top w:val="single" w:color="auto" w:sz="4" w:space="0"/>
              <w:left w:val="single" w:color="auto" w:sz="4" w:space="0"/>
              <w:bottom w:val="single" w:color="auto" w:sz="4" w:space="0"/>
              <w:right w:val="single" w:color="auto" w:sz="4" w:space="0"/>
            </w:tcBorders>
            <w:vAlign w:val="center"/>
          </w:tcPr>
          <w:p w14:paraId="76A20254">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执业或职业资格证明</w:t>
            </w:r>
          </w:p>
        </w:tc>
        <w:tc>
          <w:tcPr>
            <w:tcW w:w="806" w:type="dxa"/>
            <w:vMerge w:val="restart"/>
            <w:tcBorders>
              <w:top w:val="single" w:color="auto" w:sz="4" w:space="0"/>
              <w:left w:val="single" w:color="auto" w:sz="4" w:space="0"/>
              <w:bottom w:val="single" w:color="auto" w:sz="4" w:space="0"/>
              <w:right w:val="single" w:color="auto" w:sz="4" w:space="0"/>
            </w:tcBorders>
            <w:vAlign w:val="center"/>
          </w:tcPr>
          <w:p w14:paraId="5348E516">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备注</w:t>
            </w:r>
          </w:p>
        </w:tc>
      </w:tr>
      <w:tr w14:paraId="1931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vMerge w:val="continue"/>
            <w:tcBorders>
              <w:top w:val="single" w:color="auto" w:sz="4" w:space="0"/>
              <w:left w:val="single" w:color="auto" w:sz="4" w:space="0"/>
              <w:bottom w:val="single" w:color="auto" w:sz="4" w:space="0"/>
              <w:right w:val="single" w:color="auto" w:sz="4" w:space="0"/>
            </w:tcBorders>
            <w:vAlign w:val="center"/>
          </w:tcPr>
          <w:p w14:paraId="28EC1B26">
            <w:pPr>
              <w:kinsoku/>
              <w:autoSpaceDE/>
              <w:autoSpaceDN/>
              <w:adjustRightInd/>
              <w:snapToGrid/>
              <w:textAlignment w:val="auto"/>
              <w:rPr>
                <w:rFonts w:ascii="宋体" w:hAnsi="宋体" w:eastAsia="宋体" w:cs="宋体"/>
                <w:snapToGrid/>
                <w:color w:val="auto"/>
                <w:kern w:val="2"/>
                <w:sz w:val="24"/>
                <w:szCs w:val="24"/>
                <w:lang w:eastAsia="zh-CN"/>
              </w:rPr>
            </w:pPr>
          </w:p>
        </w:tc>
        <w:tc>
          <w:tcPr>
            <w:tcW w:w="726" w:type="dxa"/>
            <w:vMerge w:val="continue"/>
            <w:tcBorders>
              <w:top w:val="single" w:color="auto" w:sz="4" w:space="0"/>
              <w:left w:val="single" w:color="auto" w:sz="4" w:space="0"/>
              <w:bottom w:val="single" w:color="auto" w:sz="4" w:space="0"/>
              <w:right w:val="single" w:color="auto" w:sz="4" w:space="0"/>
            </w:tcBorders>
            <w:vAlign w:val="center"/>
          </w:tcPr>
          <w:p w14:paraId="780C9200">
            <w:pPr>
              <w:kinsoku/>
              <w:autoSpaceDE/>
              <w:autoSpaceDN/>
              <w:adjustRightInd/>
              <w:snapToGrid/>
              <w:textAlignment w:val="auto"/>
              <w:rPr>
                <w:rFonts w:ascii="宋体" w:hAnsi="宋体" w:eastAsia="宋体" w:cs="宋体"/>
                <w:snapToGrid/>
                <w:color w:val="auto"/>
                <w:kern w:val="2"/>
                <w:sz w:val="24"/>
                <w:szCs w:val="24"/>
                <w:lang w:eastAsia="zh-CN"/>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14:paraId="1423FBC9">
            <w:pPr>
              <w:kinsoku/>
              <w:autoSpaceDE/>
              <w:autoSpaceDN/>
              <w:adjustRightInd/>
              <w:snapToGrid/>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vAlign w:val="center"/>
          </w:tcPr>
          <w:p w14:paraId="77308AC6">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证书名称</w:t>
            </w:r>
          </w:p>
        </w:tc>
        <w:tc>
          <w:tcPr>
            <w:tcW w:w="900" w:type="dxa"/>
            <w:tcBorders>
              <w:top w:val="single" w:color="auto" w:sz="4" w:space="0"/>
              <w:left w:val="single" w:color="auto" w:sz="4" w:space="0"/>
              <w:bottom w:val="single" w:color="auto" w:sz="4" w:space="0"/>
              <w:right w:val="single" w:color="auto" w:sz="4" w:space="0"/>
            </w:tcBorders>
            <w:vAlign w:val="center"/>
          </w:tcPr>
          <w:p w14:paraId="58A39FE9">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级别</w:t>
            </w:r>
          </w:p>
        </w:tc>
        <w:tc>
          <w:tcPr>
            <w:tcW w:w="1440" w:type="dxa"/>
            <w:tcBorders>
              <w:top w:val="single" w:color="auto" w:sz="4" w:space="0"/>
              <w:left w:val="single" w:color="auto" w:sz="4" w:space="0"/>
              <w:bottom w:val="single" w:color="auto" w:sz="4" w:space="0"/>
              <w:right w:val="single" w:color="auto" w:sz="4" w:space="0"/>
            </w:tcBorders>
            <w:vAlign w:val="center"/>
          </w:tcPr>
          <w:p w14:paraId="0CF484D0">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证号</w:t>
            </w:r>
          </w:p>
        </w:tc>
        <w:tc>
          <w:tcPr>
            <w:tcW w:w="1080" w:type="dxa"/>
            <w:tcBorders>
              <w:top w:val="single" w:color="auto" w:sz="4" w:space="0"/>
              <w:left w:val="single" w:color="auto" w:sz="4" w:space="0"/>
              <w:bottom w:val="single" w:color="auto" w:sz="4" w:space="0"/>
              <w:right w:val="single" w:color="auto" w:sz="4" w:space="0"/>
            </w:tcBorders>
            <w:vAlign w:val="center"/>
          </w:tcPr>
          <w:p w14:paraId="3A4B35F2">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专业</w:t>
            </w:r>
          </w:p>
        </w:tc>
        <w:tc>
          <w:tcPr>
            <w:tcW w:w="1328" w:type="dxa"/>
            <w:tcBorders>
              <w:top w:val="single" w:color="auto" w:sz="4" w:space="0"/>
              <w:left w:val="single" w:color="auto" w:sz="4" w:space="0"/>
              <w:bottom w:val="single" w:color="auto" w:sz="4" w:space="0"/>
              <w:right w:val="single" w:color="auto" w:sz="4" w:space="0"/>
            </w:tcBorders>
            <w:vAlign w:val="center"/>
          </w:tcPr>
          <w:p w14:paraId="7188413C">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社会保险</w:t>
            </w:r>
          </w:p>
        </w:tc>
        <w:tc>
          <w:tcPr>
            <w:tcW w:w="806" w:type="dxa"/>
            <w:vMerge w:val="continue"/>
            <w:tcBorders>
              <w:top w:val="single" w:color="auto" w:sz="4" w:space="0"/>
              <w:left w:val="single" w:color="auto" w:sz="4" w:space="0"/>
              <w:bottom w:val="single" w:color="auto" w:sz="4" w:space="0"/>
              <w:right w:val="single" w:color="auto" w:sz="4" w:space="0"/>
            </w:tcBorders>
            <w:vAlign w:val="center"/>
          </w:tcPr>
          <w:p w14:paraId="6790B69E">
            <w:pPr>
              <w:kinsoku/>
              <w:autoSpaceDE/>
              <w:autoSpaceDN/>
              <w:adjustRightInd/>
              <w:snapToGrid/>
              <w:textAlignment w:val="auto"/>
              <w:rPr>
                <w:rFonts w:ascii="宋体" w:hAnsi="宋体" w:eastAsia="宋体" w:cs="宋体"/>
                <w:snapToGrid/>
                <w:color w:val="auto"/>
                <w:kern w:val="2"/>
                <w:sz w:val="24"/>
                <w:szCs w:val="24"/>
                <w:lang w:eastAsia="zh-CN"/>
              </w:rPr>
            </w:pPr>
          </w:p>
        </w:tc>
      </w:tr>
      <w:tr w14:paraId="1078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68E0D30A">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459BD8F0">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65FD9021">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39D44901">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1870965B">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2E3EB425">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5571CCD0">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295D31ED">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1BCECFD2">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62EE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3FBD9EFF">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656DC2DC">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3C3A5094">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05605BB5">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17A2D47F">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4ED847C5">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1F23BB02">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102024ED">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0208C733">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3478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2B6A76D0">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2F0D5B48">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65AC88B9">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441EA27B">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4F61291C">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735C50D6">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67002049">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34251EC4">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0E12919D">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13E0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23BE25A4">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000A0476">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302F4F42">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40199CB5">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148A8D7F">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3AFF485C">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01E7D61A">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3CFBE721">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2719331B">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7348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772C4FB4">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311241BE">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2A55A924">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58AD7B03">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5AB7737C">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55230ED2">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51B2D4D5">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680E60CB">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68EBEA34">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755D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546CB45B">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6B3A192E">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17609971">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1360934D">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1A12CA97">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3FAE0108">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459A56AD">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25C3E678">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73D939D1">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3F1C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4C7824D0">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521C5BF8">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65E42C0F">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6F6B6399">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2753164F">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4B447A45">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4DD0E459">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3C8D99CB">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60AB9B9D">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09D5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53F9EBB0">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052DC1E6">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0742316E">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5FCCF5D0">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760AF9F0">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5A756FDC">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4E6DD837">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0AB1E110">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3AFDD495">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0FD0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6DCF24A7">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125578A5">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1DE0DE0F">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4310FC28">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261DFD5F">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60F29180">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4AE0B07A">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406E86D1">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795A3F52">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0ACC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6A4987B4">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53A1C2A6">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6357C4E6">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5253037F">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011E721A">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5853C863">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5B60EE3E">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2789DBA7">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2DC9D814">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02E9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4" w:type="dxa"/>
            <w:tcBorders>
              <w:top w:val="single" w:color="auto" w:sz="4" w:space="0"/>
              <w:left w:val="single" w:color="auto" w:sz="4" w:space="0"/>
              <w:bottom w:val="single" w:color="auto" w:sz="4" w:space="0"/>
              <w:right w:val="single" w:color="auto" w:sz="4" w:space="0"/>
            </w:tcBorders>
          </w:tcPr>
          <w:p w14:paraId="521D2F38">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726" w:type="dxa"/>
            <w:tcBorders>
              <w:top w:val="single" w:color="auto" w:sz="4" w:space="0"/>
              <w:left w:val="single" w:color="auto" w:sz="4" w:space="0"/>
              <w:bottom w:val="single" w:color="auto" w:sz="4" w:space="0"/>
              <w:right w:val="single" w:color="auto" w:sz="4" w:space="0"/>
            </w:tcBorders>
          </w:tcPr>
          <w:p w14:paraId="4DF25198">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89" w:type="dxa"/>
            <w:tcBorders>
              <w:top w:val="single" w:color="auto" w:sz="4" w:space="0"/>
              <w:left w:val="single" w:color="auto" w:sz="4" w:space="0"/>
              <w:bottom w:val="single" w:color="auto" w:sz="4" w:space="0"/>
              <w:right w:val="single" w:color="auto" w:sz="4" w:space="0"/>
            </w:tcBorders>
          </w:tcPr>
          <w:p w14:paraId="48BA937A">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271" w:type="dxa"/>
            <w:tcBorders>
              <w:top w:val="single" w:color="auto" w:sz="4" w:space="0"/>
              <w:left w:val="single" w:color="auto" w:sz="4" w:space="0"/>
              <w:bottom w:val="single" w:color="auto" w:sz="4" w:space="0"/>
              <w:right w:val="single" w:color="auto" w:sz="4" w:space="0"/>
            </w:tcBorders>
          </w:tcPr>
          <w:p w14:paraId="1AE742DB">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900" w:type="dxa"/>
            <w:tcBorders>
              <w:top w:val="single" w:color="auto" w:sz="4" w:space="0"/>
              <w:left w:val="single" w:color="auto" w:sz="4" w:space="0"/>
              <w:bottom w:val="single" w:color="auto" w:sz="4" w:space="0"/>
              <w:right w:val="single" w:color="auto" w:sz="4" w:space="0"/>
            </w:tcBorders>
          </w:tcPr>
          <w:p w14:paraId="521E494B">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440" w:type="dxa"/>
            <w:tcBorders>
              <w:top w:val="single" w:color="auto" w:sz="4" w:space="0"/>
              <w:left w:val="single" w:color="auto" w:sz="4" w:space="0"/>
              <w:bottom w:val="single" w:color="auto" w:sz="4" w:space="0"/>
              <w:right w:val="single" w:color="auto" w:sz="4" w:space="0"/>
            </w:tcBorders>
          </w:tcPr>
          <w:p w14:paraId="2EA26622">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080" w:type="dxa"/>
            <w:tcBorders>
              <w:top w:val="single" w:color="auto" w:sz="4" w:space="0"/>
              <w:left w:val="single" w:color="auto" w:sz="4" w:space="0"/>
              <w:bottom w:val="single" w:color="auto" w:sz="4" w:space="0"/>
              <w:right w:val="single" w:color="auto" w:sz="4" w:space="0"/>
            </w:tcBorders>
          </w:tcPr>
          <w:p w14:paraId="057B883A">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1328" w:type="dxa"/>
            <w:tcBorders>
              <w:top w:val="single" w:color="auto" w:sz="4" w:space="0"/>
              <w:left w:val="single" w:color="auto" w:sz="4" w:space="0"/>
              <w:bottom w:val="single" w:color="auto" w:sz="4" w:space="0"/>
              <w:right w:val="single" w:color="auto" w:sz="4" w:space="0"/>
            </w:tcBorders>
          </w:tcPr>
          <w:p w14:paraId="1AB79644">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c>
          <w:tcPr>
            <w:tcW w:w="806" w:type="dxa"/>
            <w:tcBorders>
              <w:top w:val="single" w:color="auto" w:sz="4" w:space="0"/>
              <w:left w:val="single" w:color="auto" w:sz="4" w:space="0"/>
              <w:bottom w:val="single" w:color="auto" w:sz="4" w:space="0"/>
              <w:right w:val="single" w:color="auto" w:sz="4" w:space="0"/>
            </w:tcBorders>
          </w:tcPr>
          <w:p w14:paraId="432E2C55">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bl>
    <w:p w14:paraId="6B7C30FE">
      <w:pPr>
        <w:spacing w:line="360" w:lineRule="auto"/>
        <w:jc w:val="center"/>
        <w:rPr>
          <w:rFonts w:ascii="宋体" w:hAnsi="宋体" w:eastAsia="宋体"/>
          <w:color w:val="auto"/>
          <w:sz w:val="24"/>
          <w:szCs w:val="24"/>
          <w:lang w:eastAsia="zh-CN"/>
        </w:rPr>
      </w:pPr>
    </w:p>
    <w:p w14:paraId="5BE46645">
      <w:pPr>
        <w:spacing w:line="360" w:lineRule="auto"/>
        <w:jc w:val="center"/>
        <w:rPr>
          <w:rFonts w:ascii="宋体" w:hAnsi="宋体" w:eastAsia="宋体"/>
          <w:color w:val="auto"/>
          <w:sz w:val="24"/>
          <w:szCs w:val="24"/>
          <w:lang w:eastAsia="zh-CN"/>
        </w:rPr>
      </w:pPr>
    </w:p>
    <w:p w14:paraId="400508DC">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2DC76C96">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（二）主要人员简历表</w:t>
      </w:r>
    </w:p>
    <w:p w14:paraId="6E86726D">
      <w:pPr>
        <w:spacing w:line="360" w:lineRule="auto"/>
        <w:jc w:val="center"/>
        <w:rPr>
          <w:rFonts w:ascii="宋体" w:hAnsi="宋体" w:eastAsia="宋体"/>
          <w:color w:val="auto"/>
          <w:sz w:val="24"/>
          <w:szCs w:val="24"/>
          <w:lang w:eastAsia="zh-CN"/>
        </w:rPr>
      </w:pPr>
      <w:r>
        <w:rPr>
          <w:rFonts w:hint="eastAsia" w:ascii="宋体" w:hAnsi="宋体" w:eastAsia="宋体"/>
          <w:color w:val="auto"/>
          <w:sz w:val="24"/>
          <w:szCs w:val="24"/>
          <w:lang w:eastAsia="zh-CN"/>
        </w:rPr>
        <w:t>附1：项目经理简历表</w:t>
      </w:r>
    </w:p>
    <w:p w14:paraId="5405457E">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项目经理可按照资格要求附建造师注册证书、安全生产考核合格证书、身份证、劳动合同、社会保险复印件及未担任其他在施建设工程项目项目经理的承诺书，类似项目限于以项目经理身份参与的项目。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110"/>
        <w:gridCol w:w="1215"/>
        <w:gridCol w:w="1367"/>
        <w:gridCol w:w="1975"/>
        <w:gridCol w:w="2279"/>
      </w:tblGrid>
      <w:tr w14:paraId="74B9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70" w:type="dxa"/>
            <w:vAlign w:val="center"/>
          </w:tcPr>
          <w:p w14:paraId="7B5F84C4">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姓名</w:t>
            </w:r>
          </w:p>
        </w:tc>
        <w:tc>
          <w:tcPr>
            <w:tcW w:w="1110" w:type="dxa"/>
            <w:vAlign w:val="center"/>
          </w:tcPr>
          <w:p w14:paraId="1320E49B">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215" w:type="dxa"/>
            <w:vAlign w:val="center"/>
          </w:tcPr>
          <w:p w14:paraId="553B7D87">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年龄</w:t>
            </w:r>
          </w:p>
        </w:tc>
        <w:tc>
          <w:tcPr>
            <w:tcW w:w="1367" w:type="dxa"/>
            <w:vAlign w:val="center"/>
          </w:tcPr>
          <w:p w14:paraId="52925A1C">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74870D5F">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学历</w:t>
            </w:r>
          </w:p>
        </w:tc>
        <w:tc>
          <w:tcPr>
            <w:tcW w:w="2279" w:type="dxa"/>
            <w:vAlign w:val="center"/>
          </w:tcPr>
          <w:p w14:paraId="5A04CC1D">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7B76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70" w:type="dxa"/>
            <w:vAlign w:val="center"/>
          </w:tcPr>
          <w:p w14:paraId="79B0A40A">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职称</w:t>
            </w:r>
          </w:p>
        </w:tc>
        <w:tc>
          <w:tcPr>
            <w:tcW w:w="1110" w:type="dxa"/>
            <w:vAlign w:val="center"/>
          </w:tcPr>
          <w:p w14:paraId="48896D28">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215" w:type="dxa"/>
            <w:vAlign w:val="center"/>
          </w:tcPr>
          <w:p w14:paraId="3120300C">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职务</w:t>
            </w:r>
          </w:p>
        </w:tc>
        <w:tc>
          <w:tcPr>
            <w:tcW w:w="1367" w:type="dxa"/>
            <w:vAlign w:val="center"/>
          </w:tcPr>
          <w:p w14:paraId="313853F9">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1823B4DA">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拟在本工程任职</w:t>
            </w:r>
          </w:p>
        </w:tc>
        <w:tc>
          <w:tcPr>
            <w:tcW w:w="2279" w:type="dxa"/>
            <w:vAlign w:val="center"/>
          </w:tcPr>
          <w:p w14:paraId="487A48E9">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项目经理</w:t>
            </w:r>
          </w:p>
        </w:tc>
      </w:tr>
      <w:tr w14:paraId="0CD4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495" w:type="dxa"/>
            <w:gridSpan w:val="3"/>
            <w:vAlign w:val="center"/>
          </w:tcPr>
          <w:p w14:paraId="534B47D7">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注册建造师执业资格等级</w:t>
            </w:r>
          </w:p>
        </w:tc>
        <w:tc>
          <w:tcPr>
            <w:tcW w:w="1367" w:type="dxa"/>
            <w:vAlign w:val="center"/>
          </w:tcPr>
          <w:p w14:paraId="7CA8796D">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级</w:t>
            </w:r>
          </w:p>
        </w:tc>
        <w:tc>
          <w:tcPr>
            <w:tcW w:w="1975" w:type="dxa"/>
            <w:vAlign w:val="center"/>
          </w:tcPr>
          <w:p w14:paraId="7F505EA5">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建造师专业</w:t>
            </w:r>
          </w:p>
        </w:tc>
        <w:tc>
          <w:tcPr>
            <w:tcW w:w="2279" w:type="dxa"/>
            <w:vAlign w:val="center"/>
          </w:tcPr>
          <w:p w14:paraId="431CE56C">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7221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495" w:type="dxa"/>
            <w:gridSpan w:val="3"/>
            <w:vAlign w:val="center"/>
          </w:tcPr>
          <w:p w14:paraId="7195CEA6">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安全生产考核合格证书</w:t>
            </w:r>
          </w:p>
        </w:tc>
        <w:tc>
          <w:tcPr>
            <w:tcW w:w="5621" w:type="dxa"/>
            <w:gridSpan w:val="3"/>
            <w:vAlign w:val="center"/>
          </w:tcPr>
          <w:p w14:paraId="1ECF6C5B">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41C8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70" w:type="dxa"/>
            <w:vAlign w:val="center"/>
          </w:tcPr>
          <w:p w14:paraId="52AFE101">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毕业学校</w:t>
            </w:r>
          </w:p>
        </w:tc>
        <w:tc>
          <w:tcPr>
            <w:tcW w:w="7946" w:type="dxa"/>
            <w:gridSpan w:val="5"/>
            <w:vAlign w:val="center"/>
          </w:tcPr>
          <w:p w14:paraId="4ACA1916">
            <w:pPr>
              <w:widowControl w:val="0"/>
              <w:kinsoku/>
              <w:autoSpaceDE/>
              <w:autoSpaceDN/>
              <w:adjustRightInd/>
              <w:snapToGrid/>
              <w:ind w:firstLine="960" w:firstLineChars="400"/>
              <w:jc w:val="both"/>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年毕业于学校专业</w:t>
            </w:r>
          </w:p>
        </w:tc>
      </w:tr>
      <w:tr w14:paraId="4332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16" w:type="dxa"/>
            <w:gridSpan w:val="6"/>
            <w:vAlign w:val="center"/>
          </w:tcPr>
          <w:p w14:paraId="6363B130">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主要工作经历</w:t>
            </w:r>
          </w:p>
        </w:tc>
      </w:tr>
      <w:tr w14:paraId="69EA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70" w:type="dxa"/>
            <w:vAlign w:val="center"/>
          </w:tcPr>
          <w:p w14:paraId="044948DC">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时间</w:t>
            </w:r>
          </w:p>
        </w:tc>
        <w:tc>
          <w:tcPr>
            <w:tcW w:w="3692" w:type="dxa"/>
            <w:gridSpan w:val="3"/>
            <w:vAlign w:val="center"/>
          </w:tcPr>
          <w:p w14:paraId="6BC6F6DB">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参加过的类似项目名称</w:t>
            </w:r>
          </w:p>
        </w:tc>
        <w:tc>
          <w:tcPr>
            <w:tcW w:w="1975" w:type="dxa"/>
            <w:vAlign w:val="center"/>
          </w:tcPr>
          <w:p w14:paraId="3F088A1A">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工程概况说明</w:t>
            </w:r>
          </w:p>
        </w:tc>
        <w:tc>
          <w:tcPr>
            <w:tcW w:w="2279" w:type="dxa"/>
            <w:vAlign w:val="center"/>
          </w:tcPr>
          <w:p w14:paraId="5B00DD6D">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发包人及联系电话</w:t>
            </w:r>
          </w:p>
        </w:tc>
      </w:tr>
      <w:tr w14:paraId="7D9E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621B3C1A">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3B6F4A41">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302690BE">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2317E49A">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1F51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5BD9FFD7">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7E2E5E16">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698BBB75">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43C25357">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09B4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6F5ADA61">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7DCAF6DC">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4DD393A0">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403850CF">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1DAF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7A84CBD4">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25C201D6">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466C2131">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61821011">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5C24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626870CD">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5A9EC054">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172BF137">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5C6A6298">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515E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0A1CD5F2">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25ABB9AB">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7A0F2BF2">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6A33E192">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5269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3CDEC2E3">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63E2ABFD">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698E69F5">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0C67631A">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307E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666358D3">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1C158C45">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0920F417">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29A19C2E">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1E4C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3426738A">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6387478D">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23019423">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51B2B3CC">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r w14:paraId="7FFE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Align w:val="center"/>
          </w:tcPr>
          <w:p w14:paraId="735811EC">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3692" w:type="dxa"/>
            <w:gridSpan w:val="3"/>
            <w:vAlign w:val="center"/>
          </w:tcPr>
          <w:p w14:paraId="7C7ECE01">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1975" w:type="dxa"/>
            <w:vAlign w:val="center"/>
          </w:tcPr>
          <w:p w14:paraId="232E7D92">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c>
          <w:tcPr>
            <w:tcW w:w="2279" w:type="dxa"/>
            <w:vAlign w:val="center"/>
          </w:tcPr>
          <w:p w14:paraId="3491C505">
            <w:pPr>
              <w:widowControl w:val="0"/>
              <w:kinsoku/>
              <w:autoSpaceDE/>
              <w:autoSpaceDN/>
              <w:adjustRightInd/>
              <w:snapToGrid/>
              <w:jc w:val="center"/>
              <w:textAlignment w:val="auto"/>
              <w:rPr>
                <w:rFonts w:ascii="宋体" w:hAnsi="宋体" w:eastAsia="宋体" w:cs="宋体"/>
                <w:snapToGrid/>
                <w:color w:val="auto"/>
                <w:kern w:val="2"/>
                <w:sz w:val="24"/>
                <w:szCs w:val="24"/>
                <w:lang w:eastAsia="zh-CN"/>
              </w:rPr>
            </w:pPr>
          </w:p>
        </w:tc>
      </w:tr>
    </w:tbl>
    <w:p w14:paraId="72DEEFBE">
      <w:pPr>
        <w:spacing w:line="360" w:lineRule="auto"/>
        <w:rPr>
          <w:rFonts w:ascii="宋体" w:hAnsi="宋体" w:eastAsia="宋体"/>
          <w:color w:val="auto"/>
          <w:sz w:val="24"/>
          <w:szCs w:val="24"/>
          <w:lang w:eastAsia="zh-CN"/>
        </w:rPr>
      </w:pPr>
    </w:p>
    <w:p w14:paraId="6801B467">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6F71752A">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附1-1：承诺书（拟派项目经理为注册建造师的需要提供无在建承诺书）</w:t>
      </w:r>
    </w:p>
    <w:p w14:paraId="0286EC67">
      <w:pPr>
        <w:spacing w:line="360" w:lineRule="auto"/>
        <w:jc w:val="center"/>
        <w:rPr>
          <w:rFonts w:ascii="宋体" w:hAnsi="宋体" w:eastAsia="宋体"/>
          <w:color w:val="auto"/>
          <w:sz w:val="24"/>
          <w:szCs w:val="24"/>
          <w:lang w:eastAsia="zh-CN"/>
        </w:rPr>
      </w:pPr>
      <w:r>
        <w:rPr>
          <w:rFonts w:hint="eastAsia" w:ascii="宋体" w:hAnsi="宋体" w:eastAsia="宋体"/>
          <w:color w:val="auto"/>
          <w:sz w:val="24"/>
          <w:szCs w:val="24"/>
          <w:lang w:eastAsia="zh-CN"/>
        </w:rPr>
        <w:t>承诺书</w:t>
      </w:r>
    </w:p>
    <w:p w14:paraId="0A813AEF">
      <w:pPr>
        <w:spacing w:line="360" w:lineRule="auto"/>
        <w:rPr>
          <w:rFonts w:ascii="宋体" w:hAnsi="宋体" w:eastAsia="宋体"/>
          <w:color w:val="auto"/>
          <w:sz w:val="24"/>
          <w:szCs w:val="24"/>
          <w:lang w:eastAsia="zh-CN"/>
        </w:rPr>
      </w:pPr>
    </w:p>
    <w:p w14:paraId="66957FF1">
      <w:pPr>
        <w:spacing w:line="360" w:lineRule="auto"/>
        <w:rPr>
          <w:rFonts w:ascii="宋体" w:hAnsi="宋体" w:eastAsia="宋体"/>
          <w:color w:val="auto"/>
          <w:sz w:val="24"/>
          <w:szCs w:val="24"/>
          <w:u w:val="single"/>
          <w:lang w:eastAsia="zh-CN"/>
        </w:rPr>
      </w:pPr>
    </w:p>
    <w:p w14:paraId="499CE555">
      <w:pPr>
        <w:spacing w:line="360" w:lineRule="auto"/>
        <w:rPr>
          <w:rFonts w:ascii="宋体" w:hAnsi="宋体" w:eastAsia="宋体"/>
          <w:color w:val="auto"/>
          <w:sz w:val="24"/>
          <w:szCs w:val="24"/>
          <w:lang w:eastAsia="zh-CN"/>
        </w:rPr>
      </w:pPr>
      <w:r>
        <w:rPr>
          <w:rFonts w:hint="eastAsia" w:ascii="宋体" w:hAnsi="宋体" w:eastAsia="宋体"/>
          <w:color w:val="auto"/>
          <w:sz w:val="24"/>
          <w:szCs w:val="24"/>
          <w:u w:val="single"/>
          <w:lang w:eastAsia="zh-CN"/>
        </w:rPr>
        <w:tab/>
      </w:r>
      <w:r>
        <w:rPr>
          <w:rFonts w:hint="eastAsia" w:ascii="宋体" w:hAnsi="宋体" w:eastAsia="宋体"/>
          <w:color w:val="auto"/>
          <w:sz w:val="24"/>
          <w:szCs w:val="24"/>
          <w:u w:val="single"/>
          <w:lang w:eastAsia="zh-CN"/>
        </w:rPr>
        <w:t>（采购人名称）</w:t>
      </w:r>
      <w:r>
        <w:rPr>
          <w:rFonts w:hint="eastAsia" w:ascii="宋体" w:hAnsi="宋体" w:eastAsia="宋体"/>
          <w:color w:val="auto"/>
          <w:sz w:val="24"/>
          <w:szCs w:val="24"/>
          <w:lang w:eastAsia="zh-CN"/>
        </w:rPr>
        <w:t>:</w:t>
      </w:r>
    </w:p>
    <w:p w14:paraId="144F4DD7">
      <w:pPr>
        <w:spacing w:line="360" w:lineRule="auto"/>
        <w:rPr>
          <w:rFonts w:ascii="宋体" w:hAnsi="宋体" w:eastAsia="宋体"/>
          <w:color w:val="auto"/>
          <w:sz w:val="24"/>
          <w:szCs w:val="24"/>
          <w:lang w:eastAsia="zh-CN"/>
        </w:rPr>
      </w:pPr>
    </w:p>
    <w:p w14:paraId="0D55CB10">
      <w:pPr>
        <w:spacing w:line="360" w:lineRule="auto"/>
        <w:ind w:firstLine="480" w:firstLineChars="200"/>
        <w:rPr>
          <w:rFonts w:ascii="宋体" w:hAnsi="宋体" w:eastAsia="宋体"/>
          <w:color w:val="auto"/>
          <w:sz w:val="24"/>
          <w:szCs w:val="24"/>
          <w:lang w:eastAsia="zh-CN"/>
        </w:rPr>
      </w:pPr>
      <w:r>
        <w:rPr>
          <w:rFonts w:hint="eastAsia" w:ascii="宋体" w:hAnsi="宋体" w:eastAsia="宋体"/>
          <w:color w:val="auto"/>
          <w:sz w:val="24"/>
          <w:szCs w:val="24"/>
          <w:lang w:eastAsia="zh-CN"/>
        </w:rPr>
        <w:t>我方在此声明，我方拟派往</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（项目名称）（以下简称“本工程”）的项目经理</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（项目经理姓名）现阶段没有担任任何在施建设工程项目的项目经理。</w:t>
      </w:r>
    </w:p>
    <w:p w14:paraId="393E8F90">
      <w:pPr>
        <w:spacing w:line="360" w:lineRule="auto"/>
        <w:ind w:firstLine="480" w:firstLineChars="200"/>
        <w:rPr>
          <w:rFonts w:ascii="宋体" w:hAnsi="宋体" w:eastAsia="宋体"/>
          <w:color w:val="auto"/>
          <w:sz w:val="24"/>
          <w:szCs w:val="24"/>
          <w:lang w:eastAsia="zh-CN"/>
        </w:rPr>
      </w:pPr>
      <w:r>
        <w:rPr>
          <w:rFonts w:hint="eastAsia" w:ascii="宋体" w:hAnsi="宋体" w:eastAsia="宋体"/>
          <w:color w:val="auto"/>
          <w:sz w:val="24"/>
          <w:szCs w:val="24"/>
          <w:lang w:eastAsia="zh-CN"/>
        </w:rPr>
        <w:t>我方保证上述信息的真实和准确，并愿意承担因我方就此弄虚作假所引起的一切法律后果。</w:t>
      </w:r>
    </w:p>
    <w:p w14:paraId="432EA0EE">
      <w:pPr>
        <w:spacing w:line="360" w:lineRule="auto"/>
        <w:rPr>
          <w:rFonts w:ascii="宋体" w:hAnsi="宋体" w:eastAsia="宋体"/>
          <w:color w:val="auto"/>
          <w:sz w:val="24"/>
          <w:szCs w:val="24"/>
          <w:lang w:eastAsia="zh-CN"/>
        </w:rPr>
      </w:pPr>
    </w:p>
    <w:p w14:paraId="094FF561">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特此承诺</w:t>
      </w:r>
    </w:p>
    <w:p w14:paraId="68DD149C">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供应商：</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（盖章）</w:t>
      </w:r>
    </w:p>
    <w:p w14:paraId="734B6AB8">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法定代表人或其委托代理人：</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（签字或盖章）</w:t>
      </w:r>
    </w:p>
    <w:p w14:paraId="47A58081">
      <w:pPr>
        <w:spacing w:line="360" w:lineRule="auto"/>
        <w:rPr>
          <w:rFonts w:asciiTheme="minorEastAsia" w:hAnsiTheme="minorEastAsia"/>
          <w:color w:val="auto"/>
          <w:sz w:val="24"/>
          <w:szCs w:val="24"/>
          <w:lang w:eastAsia="zh-CN"/>
        </w:rPr>
      </w:pPr>
      <w:r>
        <w:rPr>
          <w:rFonts w:hint="eastAsia" w:asciiTheme="minorEastAsia" w:hAnsiTheme="minorEastAsia"/>
          <w:color w:val="auto"/>
          <w:sz w:val="24"/>
          <w:szCs w:val="24"/>
          <w:lang w:eastAsia="zh-CN"/>
        </w:rPr>
        <w:t>日期：</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年</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月</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日</w:t>
      </w:r>
    </w:p>
    <w:p w14:paraId="63AAB971">
      <w:pPr>
        <w:spacing w:line="360" w:lineRule="auto"/>
        <w:rPr>
          <w:rFonts w:ascii="宋体" w:hAnsi="宋体" w:eastAsia="宋体"/>
          <w:color w:val="auto"/>
          <w:sz w:val="24"/>
          <w:szCs w:val="24"/>
          <w:lang w:eastAsia="zh-CN"/>
        </w:rPr>
      </w:pPr>
    </w:p>
    <w:p w14:paraId="5868E0F3">
      <w:pPr>
        <w:spacing w:line="360" w:lineRule="auto"/>
        <w:rPr>
          <w:rFonts w:ascii="宋体" w:hAnsi="宋体" w:eastAsia="宋体"/>
          <w:color w:val="auto"/>
          <w:sz w:val="24"/>
          <w:szCs w:val="24"/>
          <w:lang w:eastAsia="zh-CN"/>
        </w:rPr>
      </w:pPr>
    </w:p>
    <w:p w14:paraId="5265FA45">
      <w:pPr>
        <w:spacing w:line="360" w:lineRule="auto"/>
        <w:rPr>
          <w:rFonts w:ascii="宋体" w:hAnsi="宋体" w:eastAsia="宋体"/>
          <w:color w:val="auto"/>
          <w:sz w:val="24"/>
          <w:szCs w:val="24"/>
          <w:lang w:eastAsia="zh-CN"/>
        </w:rPr>
      </w:pPr>
    </w:p>
    <w:p w14:paraId="31F7EA8D">
      <w:pPr>
        <w:spacing w:line="360" w:lineRule="auto"/>
        <w:rPr>
          <w:rFonts w:ascii="宋体" w:hAnsi="宋体" w:eastAsia="宋体"/>
          <w:color w:val="auto"/>
          <w:sz w:val="24"/>
          <w:szCs w:val="24"/>
          <w:lang w:eastAsia="zh-CN"/>
        </w:rPr>
      </w:pPr>
    </w:p>
    <w:p w14:paraId="19DCECB8">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5FEDDC3D">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附2：主要项目管理人员简历表</w:t>
      </w:r>
    </w:p>
    <w:p w14:paraId="56B8FFC9">
      <w:pPr>
        <w:spacing w:line="360" w:lineRule="auto"/>
        <w:ind w:firstLine="360" w:firstLineChars="150"/>
        <w:rPr>
          <w:rFonts w:ascii="宋体" w:hAnsi="宋体" w:eastAsia="宋体"/>
          <w:color w:val="auto"/>
          <w:sz w:val="24"/>
          <w:szCs w:val="24"/>
          <w:lang w:eastAsia="zh-CN"/>
        </w:rPr>
      </w:pPr>
      <w:r>
        <w:rPr>
          <w:rFonts w:hint="eastAsia" w:ascii="宋体" w:hAnsi="宋体" w:eastAsia="宋体"/>
          <w:color w:val="auto"/>
          <w:sz w:val="24"/>
          <w:szCs w:val="24"/>
          <w:lang w:eastAsia="zh-CN"/>
        </w:rPr>
        <w:t>主要项目管理人员指技术负责人、施工员、质量员（质检员）、安全员、材料员、资料员岗位人员。技术负责人应附身份证、职称证、学历证（如有）、社会保险复印件（如有），专职安全生产管理人员应附安全生产考核合格证书，其他人员附岗位证书或注册证书扫描件或岗位任命书或其他证明材料。主要业绩须附合同协议书（如有）。</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11"/>
        <w:gridCol w:w="4311"/>
      </w:tblGrid>
      <w:tr w14:paraId="1F2CB7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22" w:type="dxa"/>
            <w:gridSpan w:val="2"/>
            <w:vAlign w:val="center"/>
          </w:tcPr>
          <w:p w14:paraId="17D9243D">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岗位名称：</w:t>
            </w:r>
          </w:p>
        </w:tc>
      </w:tr>
      <w:tr w14:paraId="580372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11" w:type="dxa"/>
            <w:vAlign w:val="center"/>
          </w:tcPr>
          <w:p w14:paraId="37E231C1">
            <w:pPr>
              <w:spacing w:before="68" w:line="360" w:lineRule="auto"/>
              <w:rPr>
                <w:rFonts w:ascii="宋体" w:hAnsi="宋体" w:eastAsia="宋体" w:cs="宋体"/>
                <w:color w:val="auto"/>
                <w:sz w:val="24"/>
                <w:szCs w:val="24"/>
                <w:lang w:eastAsia="zh-CN"/>
              </w:rPr>
            </w:pPr>
            <w:r>
              <w:rPr>
                <w:rFonts w:hint="eastAsia" w:ascii="宋体" w:hAnsi="宋体" w:eastAsia="宋体" w:cs="宋体"/>
                <w:color w:val="auto"/>
                <w:spacing w:val="-4"/>
                <w:sz w:val="24"/>
                <w:szCs w:val="24"/>
              </w:rPr>
              <w:t>姓名</w:t>
            </w:r>
            <w:r>
              <w:rPr>
                <w:rFonts w:hint="eastAsia" w:ascii="宋体" w:hAnsi="宋体" w:eastAsia="宋体" w:cs="宋体"/>
                <w:color w:val="auto"/>
                <w:spacing w:val="-4"/>
                <w:sz w:val="24"/>
                <w:szCs w:val="24"/>
                <w:lang w:eastAsia="zh-CN"/>
              </w:rPr>
              <w:t>：</w:t>
            </w:r>
          </w:p>
        </w:tc>
        <w:tc>
          <w:tcPr>
            <w:tcW w:w="4311" w:type="dxa"/>
            <w:vAlign w:val="center"/>
          </w:tcPr>
          <w:p w14:paraId="02484A5F">
            <w:pPr>
              <w:spacing w:before="68" w:line="360" w:lineRule="auto"/>
              <w:rPr>
                <w:rFonts w:ascii="宋体" w:hAnsi="宋体" w:eastAsia="宋体" w:cs="宋体"/>
                <w:color w:val="auto"/>
                <w:sz w:val="24"/>
                <w:szCs w:val="24"/>
                <w:lang w:eastAsia="zh-CN"/>
              </w:rPr>
            </w:pPr>
            <w:r>
              <w:rPr>
                <w:rFonts w:hint="eastAsia" w:ascii="宋体" w:hAnsi="宋体" w:eastAsia="宋体" w:cs="宋体"/>
                <w:color w:val="auto"/>
                <w:spacing w:val="-4"/>
                <w:sz w:val="24"/>
                <w:szCs w:val="24"/>
              </w:rPr>
              <w:t>年龄</w:t>
            </w:r>
            <w:r>
              <w:rPr>
                <w:rFonts w:hint="eastAsia" w:ascii="宋体" w:hAnsi="宋体" w:eastAsia="宋体" w:cs="宋体"/>
                <w:color w:val="auto"/>
                <w:spacing w:val="-4"/>
                <w:sz w:val="24"/>
                <w:szCs w:val="24"/>
                <w:lang w:eastAsia="zh-CN"/>
              </w:rPr>
              <w:t>：</w:t>
            </w:r>
          </w:p>
        </w:tc>
      </w:tr>
      <w:tr w14:paraId="428DA0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11" w:type="dxa"/>
            <w:vAlign w:val="center"/>
          </w:tcPr>
          <w:p w14:paraId="76BFAFCD">
            <w:pPr>
              <w:spacing w:before="68" w:line="360" w:lineRule="auto"/>
              <w:rPr>
                <w:rFonts w:ascii="宋体" w:hAnsi="宋体" w:eastAsia="宋体" w:cs="宋体"/>
                <w:color w:val="auto"/>
                <w:sz w:val="24"/>
                <w:szCs w:val="24"/>
                <w:lang w:eastAsia="zh-CN"/>
              </w:rPr>
            </w:pPr>
            <w:r>
              <w:rPr>
                <w:rFonts w:hint="eastAsia" w:ascii="宋体" w:hAnsi="宋体" w:eastAsia="宋体" w:cs="宋体"/>
                <w:color w:val="auto"/>
                <w:spacing w:val="-5"/>
                <w:sz w:val="24"/>
                <w:szCs w:val="24"/>
              </w:rPr>
              <w:t>性别</w:t>
            </w:r>
            <w:r>
              <w:rPr>
                <w:rFonts w:hint="eastAsia" w:ascii="宋体" w:hAnsi="宋体" w:eastAsia="宋体" w:cs="宋体"/>
                <w:color w:val="auto"/>
                <w:spacing w:val="-5"/>
                <w:sz w:val="24"/>
                <w:szCs w:val="24"/>
                <w:lang w:eastAsia="zh-CN"/>
              </w:rPr>
              <w:t>：</w:t>
            </w:r>
          </w:p>
        </w:tc>
        <w:tc>
          <w:tcPr>
            <w:tcW w:w="4311" w:type="dxa"/>
            <w:vAlign w:val="center"/>
          </w:tcPr>
          <w:p w14:paraId="6A49BA4F">
            <w:pPr>
              <w:spacing w:before="68" w:line="360" w:lineRule="auto"/>
              <w:rPr>
                <w:rFonts w:ascii="宋体" w:hAnsi="宋体" w:eastAsia="宋体" w:cs="宋体"/>
                <w:color w:val="auto"/>
                <w:sz w:val="24"/>
                <w:szCs w:val="24"/>
                <w:lang w:eastAsia="zh-CN"/>
              </w:rPr>
            </w:pPr>
            <w:r>
              <w:rPr>
                <w:rFonts w:hint="eastAsia" w:ascii="宋体" w:hAnsi="宋体" w:eastAsia="宋体" w:cs="宋体"/>
                <w:color w:val="auto"/>
                <w:spacing w:val="-3"/>
                <w:sz w:val="24"/>
                <w:szCs w:val="24"/>
              </w:rPr>
              <w:t>毕业学校</w:t>
            </w:r>
            <w:r>
              <w:rPr>
                <w:rFonts w:hint="eastAsia" w:ascii="宋体" w:hAnsi="宋体" w:eastAsia="宋体" w:cs="宋体"/>
                <w:color w:val="auto"/>
                <w:spacing w:val="-3"/>
                <w:sz w:val="24"/>
                <w:szCs w:val="24"/>
                <w:lang w:eastAsia="zh-CN"/>
              </w:rPr>
              <w:t>:</w:t>
            </w:r>
          </w:p>
        </w:tc>
      </w:tr>
      <w:tr w14:paraId="6D61E7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11" w:type="dxa"/>
            <w:vAlign w:val="center"/>
          </w:tcPr>
          <w:p w14:paraId="12536AED">
            <w:pPr>
              <w:spacing w:before="68" w:line="360" w:lineRule="auto"/>
              <w:rPr>
                <w:rFonts w:ascii="宋体" w:hAnsi="宋体" w:eastAsia="宋体" w:cs="宋体"/>
                <w:color w:val="auto"/>
                <w:sz w:val="24"/>
                <w:szCs w:val="24"/>
                <w:lang w:eastAsia="zh-CN"/>
              </w:rPr>
            </w:pPr>
            <w:r>
              <w:rPr>
                <w:rFonts w:hint="eastAsia" w:ascii="宋体" w:hAnsi="宋体" w:eastAsia="宋体" w:cs="宋体"/>
                <w:color w:val="auto"/>
                <w:spacing w:val="-2"/>
                <w:sz w:val="24"/>
                <w:szCs w:val="24"/>
              </w:rPr>
              <w:t>学历和专业</w:t>
            </w:r>
            <w:r>
              <w:rPr>
                <w:rFonts w:hint="eastAsia" w:ascii="宋体" w:hAnsi="宋体" w:eastAsia="宋体" w:cs="宋体"/>
                <w:color w:val="auto"/>
                <w:spacing w:val="-2"/>
                <w:sz w:val="24"/>
                <w:szCs w:val="24"/>
                <w:lang w:eastAsia="zh-CN"/>
              </w:rPr>
              <w:t>：</w:t>
            </w:r>
          </w:p>
        </w:tc>
        <w:tc>
          <w:tcPr>
            <w:tcW w:w="4311" w:type="dxa"/>
            <w:vAlign w:val="center"/>
          </w:tcPr>
          <w:p w14:paraId="6FF1743D">
            <w:pPr>
              <w:spacing w:before="68" w:line="360" w:lineRule="auto"/>
              <w:rPr>
                <w:rFonts w:ascii="宋体" w:hAnsi="宋体" w:eastAsia="宋体" w:cs="宋体"/>
                <w:color w:val="auto"/>
                <w:sz w:val="24"/>
                <w:szCs w:val="24"/>
                <w:lang w:eastAsia="zh-CN"/>
              </w:rPr>
            </w:pPr>
            <w:r>
              <w:rPr>
                <w:rFonts w:hint="eastAsia" w:ascii="宋体" w:hAnsi="宋体" w:eastAsia="宋体" w:cs="宋体"/>
                <w:color w:val="auto"/>
                <w:spacing w:val="-3"/>
                <w:sz w:val="24"/>
                <w:szCs w:val="24"/>
              </w:rPr>
              <w:t>毕业时间</w:t>
            </w:r>
            <w:r>
              <w:rPr>
                <w:rFonts w:hint="eastAsia" w:ascii="宋体" w:hAnsi="宋体" w:eastAsia="宋体" w:cs="宋体"/>
                <w:color w:val="auto"/>
                <w:spacing w:val="-3"/>
                <w:sz w:val="24"/>
                <w:szCs w:val="24"/>
                <w:lang w:eastAsia="zh-CN"/>
              </w:rPr>
              <w:t>:</w:t>
            </w:r>
          </w:p>
        </w:tc>
      </w:tr>
      <w:tr w14:paraId="232C40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11" w:type="dxa"/>
            <w:vAlign w:val="center"/>
          </w:tcPr>
          <w:p w14:paraId="0BB89C3F">
            <w:pPr>
              <w:spacing w:before="68" w:line="360" w:lineRule="auto"/>
              <w:rPr>
                <w:rFonts w:ascii="宋体" w:hAnsi="宋体" w:eastAsia="宋体" w:cs="宋体"/>
                <w:color w:val="auto"/>
                <w:sz w:val="24"/>
                <w:szCs w:val="24"/>
                <w:lang w:eastAsia="zh-CN"/>
              </w:rPr>
            </w:pPr>
            <w:r>
              <w:rPr>
                <w:rFonts w:hint="eastAsia" w:ascii="宋体" w:hAnsi="宋体" w:eastAsia="宋体" w:cs="宋体"/>
                <w:color w:val="auto"/>
                <w:spacing w:val="-1"/>
                <w:sz w:val="24"/>
                <w:szCs w:val="24"/>
              </w:rPr>
              <w:t>拥有的执业资格</w:t>
            </w:r>
            <w:r>
              <w:rPr>
                <w:rFonts w:hint="eastAsia" w:ascii="宋体" w:hAnsi="宋体" w:eastAsia="宋体" w:cs="宋体"/>
                <w:color w:val="auto"/>
                <w:spacing w:val="-1"/>
                <w:sz w:val="24"/>
                <w:szCs w:val="24"/>
                <w:lang w:eastAsia="zh-CN"/>
              </w:rPr>
              <w:t>：</w:t>
            </w:r>
          </w:p>
        </w:tc>
        <w:tc>
          <w:tcPr>
            <w:tcW w:w="4311" w:type="dxa"/>
            <w:vAlign w:val="center"/>
          </w:tcPr>
          <w:p w14:paraId="1C0EC70A">
            <w:pPr>
              <w:spacing w:before="69" w:line="360" w:lineRule="auto"/>
              <w:rPr>
                <w:rFonts w:ascii="宋体" w:hAnsi="宋体" w:eastAsia="宋体" w:cs="宋体"/>
                <w:color w:val="auto"/>
                <w:sz w:val="24"/>
                <w:szCs w:val="24"/>
                <w:lang w:eastAsia="zh-CN"/>
              </w:rPr>
            </w:pPr>
            <w:r>
              <w:rPr>
                <w:rFonts w:hint="eastAsia" w:ascii="宋体" w:hAnsi="宋体" w:eastAsia="宋体" w:cs="宋体"/>
                <w:color w:val="auto"/>
                <w:spacing w:val="-2"/>
                <w:sz w:val="24"/>
                <w:szCs w:val="24"/>
              </w:rPr>
              <w:t>专业职称</w:t>
            </w:r>
            <w:r>
              <w:rPr>
                <w:rFonts w:hint="eastAsia" w:ascii="宋体" w:hAnsi="宋体" w:eastAsia="宋体" w:cs="宋体"/>
                <w:color w:val="auto"/>
                <w:spacing w:val="-2"/>
                <w:sz w:val="24"/>
                <w:szCs w:val="24"/>
                <w:lang w:eastAsia="zh-CN"/>
              </w:rPr>
              <w:t>:</w:t>
            </w:r>
          </w:p>
        </w:tc>
      </w:tr>
      <w:tr w14:paraId="5D4DC2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11" w:type="dxa"/>
            <w:vAlign w:val="center"/>
          </w:tcPr>
          <w:p w14:paraId="6353EF2A">
            <w:pPr>
              <w:spacing w:before="69" w:line="360" w:lineRule="auto"/>
              <w:rPr>
                <w:rFonts w:ascii="宋体" w:hAnsi="宋体" w:eastAsia="宋体" w:cs="宋体"/>
                <w:color w:val="auto"/>
                <w:sz w:val="24"/>
                <w:szCs w:val="24"/>
                <w:lang w:eastAsia="zh-CN"/>
              </w:rPr>
            </w:pPr>
            <w:r>
              <w:rPr>
                <w:rFonts w:hint="eastAsia" w:ascii="宋体" w:hAnsi="宋体" w:eastAsia="宋体" w:cs="宋体"/>
                <w:color w:val="auto"/>
                <w:spacing w:val="-1"/>
                <w:sz w:val="24"/>
                <w:szCs w:val="24"/>
              </w:rPr>
              <w:t>执业资格证书编号</w:t>
            </w:r>
            <w:r>
              <w:rPr>
                <w:rFonts w:hint="eastAsia" w:ascii="宋体" w:hAnsi="宋体" w:eastAsia="宋体" w:cs="宋体"/>
                <w:color w:val="auto"/>
                <w:spacing w:val="-1"/>
                <w:sz w:val="24"/>
                <w:szCs w:val="24"/>
                <w:lang w:eastAsia="zh-CN"/>
              </w:rPr>
              <w:t>：</w:t>
            </w:r>
          </w:p>
        </w:tc>
        <w:tc>
          <w:tcPr>
            <w:tcW w:w="4311" w:type="dxa"/>
            <w:vAlign w:val="center"/>
          </w:tcPr>
          <w:p w14:paraId="01E8989B">
            <w:pPr>
              <w:spacing w:before="68" w:line="360" w:lineRule="auto"/>
              <w:rPr>
                <w:rFonts w:ascii="宋体" w:hAnsi="宋体" w:eastAsia="宋体" w:cs="宋体"/>
                <w:color w:val="auto"/>
                <w:sz w:val="24"/>
                <w:szCs w:val="24"/>
                <w:lang w:eastAsia="zh-CN"/>
              </w:rPr>
            </w:pPr>
            <w:r>
              <w:rPr>
                <w:rFonts w:hint="eastAsia" w:ascii="宋体" w:hAnsi="宋体" w:eastAsia="宋体" w:cs="宋体"/>
                <w:color w:val="auto"/>
                <w:spacing w:val="-2"/>
                <w:sz w:val="24"/>
                <w:szCs w:val="24"/>
              </w:rPr>
              <w:t>工作年限</w:t>
            </w:r>
            <w:r>
              <w:rPr>
                <w:rFonts w:hint="eastAsia" w:ascii="宋体" w:hAnsi="宋体" w:eastAsia="宋体" w:cs="宋体"/>
                <w:color w:val="auto"/>
                <w:spacing w:val="-2"/>
                <w:sz w:val="24"/>
                <w:szCs w:val="24"/>
                <w:lang w:eastAsia="zh-CN"/>
              </w:rPr>
              <w:t>:</w:t>
            </w:r>
          </w:p>
        </w:tc>
      </w:tr>
      <w:tr w14:paraId="0D1E1A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78" w:hRule="atLeast"/>
        </w:trPr>
        <w:tc>
          <w:tcPr>
            <w:tcW w:w="8622" w:type="dxa"/>
            <w:gridSpan w:val="2"/>
          </w:tcPr>
          <w:p w14:paraId="2D16921E">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主要工作业绩及担任的主要工作:</w:t>
            </w:r>
          </w:p>
        </w:tc>
      </w:tr>
    </w:tbl>
    <w:p w14:paraId="35A818D0">
      <w:pPr>
        <w:spacing w:line="360" w:lineRule="auto"/>
        <w:ind w:firstLine="360" w:firstLineChars="150"/>
        <w:rPr>
          <w:rFonts w:ascii="宋体" w:hAnsi="宋体" w:eastAsia="宋体"/>
          <w:color w:val="auto"/>
          <w:sz w:val="24"/>
          <w:szCs w:val="24"/>
          <w:lang w:eastAsia="zh-CN"/>
        </w:rPr>
      </w:pPr>
    </w:p>
    <w:p w14:paraId="1CECC4E7">
      <w:pPr>
        <w:kinsoku/>
        <w:autoSpaceDE/>
        <w:autoSpaceDN/>
        <w:adjustRightInd/>
        <w:snapToGrid/>
        <w:spacing w:line="360" w:lineRule="auto"/>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7E5EAE7B">
      <w:pPr>
        <w:spacing w:line="360" w:lineRule="auto"/>
        <w:jc w:val="center"/>
        <w:rPr>
          <w:rFonts w:ascii="宋体" w:hAnsi="宋体" w:eastAsia="宋体" w:cs="宋体"/>
          <w:b/>
          <w:color w:val="auto"/>
          <w:sz w:val="24"/>
          <w:szCs w:val="24"/>
          <w:lang w:eastAsia="zh-CN"/>
        </w:rPr>
      </w:pPr>
      <w:r>
        <w:rPr>
          <w:rFonts w:hint="eastAsia" w:ascii="宋体" w:hAnsi="宋体" w:eastAsia="宋体" w:cs="宋体"/>
          <w:b/>
          <w:color w:val="auto"/>
          <w:sz w:val="24"/>
          <w:szCs w:val="24"/>
          <w:lang w:eastAsia="zh-CN"/>
        </w:rPr>
        <w:t>八、近年完成的类似项目情况表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251"/>
      </w:tblGrid>
      <w:tr w14:paraId="1A55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68" w:type="dxa"/>
            <w:vAlign w:val="center"/>
          </w:tcPr>
          <w:p w14:paraId="6029E7F4">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项目名称</w:t>
            </w:r>
          </w:p>
        </w:tc>
        <w:tc>
          <w:tcPr>
            <w:tcW w:w="6251" w:type="dxa"/>
          </w:tcPr>
          <w:p w14:paraId="2017CC7D">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4B3E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268" w:type="dxa"/>
            <w:vAlign w:val="center"/>
          </w:tcPr>
          <w:p w14:paraId="56AA2213">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项目所在地</w:t>
            </w:r>
          </w:p>
        </w:tc>
        <w:tc>
          <w:tcPr>
            <w:tcW w:w="6251" w:type="dxa"/>
          </w:tcPr>
          <w:p w14:paraId="0AB5D104">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74F7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268" w:type="dxa"/>
            <w:vAlign w:val="center"/>
          </w:tcPr>
          <w:p w14:paraId="566707C9">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发包人名称</w:t>
            </w:r>
          </w:p>
        </w:tc>
        <w:tc>
          <w:tcPr>
            <w:tcW w:w="6251" w:type="dxa"/>
          </w:tcPr>
          <w:p w14:paraId="06054D9A">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6057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268" w:type="dxa"/>
            <w:vAlign w:val="center"/>
          </w:tcPr>
          <w:p w14:paraId="76479DE4">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发包人地址</w:t>
            </w:r>
          </w:p>
        </w:tc>
        <w:tc>
          <w:tcPr>
            <w:tcW w:w="6251" w:type="dxa"/>
          </w:tcPr>
          <w:p w14:paraId="06139445">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39B1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268" w:type="dxa"/>
            <w:vAlign w:val="center"/>
          </w:tcPr>
          <w:p w14:paraId="07DFC407">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发包人电话</w:t>
            </w:r>
          </w:p>
        </w:tc>
        <w:tc>
          <w:tcPr>
            <w:tcW w:w="6251" w:type="dxa"/>
          </w:tcPr>
          <w:p w14:paraId="3D5910C1">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1B14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268" w:type="dxa"/>
            <w:vAlign w:val="center"/>
          </w:tcPr>
          <w:p w14:paraId="2B3564C4">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合同价格</w:t>
            </w:r>
          </w:p>
        </w:tc>
        <w:tc>
          <w:tcPr>
            <w:tcW w:w="6251" w:type="dxa"/>
          </w:tcPr>
          <w:p w14:paraId="13F90E8A">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7BCB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268" w:type="dxa"/>
            <w:vAlign w:val="center"/>
          </w:tcPr>
          <w:p w14:paraId="059205BD">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开工日期</w:t>
            </w:r>
          </w:p>
        </w:tc>
        <w:tc>
          <w:tcPr>
            <w:tcW w:w="6251" w:type="dxa"/>
          </w:tcPr>
          <w:p w14:paraId="2849C057">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7729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268" w:type="dxa"/>
            <w:vAlign w:val="center"/>
          </w:tcPr>
          <w:p w14:paraId="47E1FC79">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竣工日期</w:t>
            </w:r>
          </w:p>
        </w:tc>
        <w:tc>
          <w:tcPr>
            <w:tcW w:w="6251" w:type="dxa"/>
          </w:tcPr>
          <w:p w14:paraId="14DA512F">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6529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268" w:type="dxa"/>
            <w:vAlign w:val="center"/>
          </w:tcPr>
          <w:p w14:paraId="592CDDF9">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承担的工作</w:t>
            </w:r>
          </w:p>
        </w:tc>
        <w:tc>
          <w:tcPr>
            <w:tcW w:w="6251" w:type="dxa"/>
          </w:tcPr>
          <w:p w14:paraId="6E6CA942">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2177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268" w:type="dxa"/>
            <w:vAlign w:val="center"/>
          </w:tcPr>
          <w:p w14:paraId="6902A904">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工程质量</w:t>
            </w:r>
          </w:p>
        </w:tc>
        <w:tc>
          <w:tcPr>
            <w:tcW w:w="6251" w:type="dxa"/>
          </w:tcPr>
          <w:p w14:paraId="78C5E652">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425B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268" w:type="dxa"/>
            <w:vAlign w:val="center"/>
          </w:tcPr>
          <w:p w14:paraId="24DB3870">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项目经理</w:t>
            </w:r>
          </w:p>
        </w:tc>
        <w:tc>
          <w:tcPr>
            <w:tcW w:w="6251" w:type="dxa"/>
          </w:tcPr>
          <w:p w14:paraId="0503889B">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01CE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268" w:type="dxa"/>
            <w:vAlign w:val="center"/>
          </w:tcPr>
          <w:p w14:paraId="1BA80401">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技术负责人</w:t>
            </w:r>
          </w:p>
        </w:tc>
        <w:tc>
          <w:tcPr>
            <w:tcW w:w="6251" w:type="dxa"/>
          </w:tcPr>
          <w:p w14:paraId="6C834ED0">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3C00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2268" w:type="dxa"/>
            <w:vAlign w:val="center"/>
          </w:tcPr>
          <w:p w14:paraId="284ECBB1">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项目描述</w:t>
            </w:r>
          </w:p>
        </w:tc>
        <w:tc>
          <w:tcPr>
            <w:tcW w:w="6251" w:type="dxa"/>
          </w:tcPr>
          <w:p w14:paraId="32F463C8">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p w14:paraId="142CE4EC">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6794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268" w:type="dxa"/>
            <w:vAlign w:val="center"/>
          </w:tcPr>
          <w:p w14:paraId="03BA1144">
            <w:pPr>
              <w:widowControl w:val="0"/>
              <w:kinsoku/>
              <w:topLinePunct/>
              <w:autoSpaceDE/>
              <w:autoSpaceDN/>
              <w:adjustRightInd/>
              <w:snapToGrid/>
              <w:spacing w:line="440" w:lineRule="exact"/>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备注</w:t>
            </w:r>
          </w:p>
        </w:tc>
        <w:tc>
          <w:tcPr>
            <w:tcW w:w="6251" w:type="dxa"/>
          </w:tcPr>
          <w:p w14:paraId="49A61529">
            <w:pPr>
              <w:widowControl w:val="0"/>
              <w:kinsoku/>
              <w:topLinePunct/>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bl>
    <w:p w14:paraId="3F9499F5">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注：</w:t>
      </w:r>
    </w:p>
    <w:p w14:paraId="61961861">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1、以上业绩须提供有关证明材料复印件，以合同签订时间为准。</w:t>
      </w:r>
    </w:p>
    <w:p w14:paraId="23C69690">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2、表格不够投标供应商可按以上表格形式进行扩充复制。</w:t>
      </w:r>
    </w:p>
    <w:p w14:paraId="48FE89F6">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132477A7">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九、服务承诺</w:t>
      </w:r>
    </w:p>
    <w:p w14:paraId="02810F27">
      <w:pPr>
        <w:spacing w:line="360" w:lineRule="auto"/>
        <w:jc w:val="center"/>
        <w:rPr>
          <w:rFonts w:ascii="宋体" w:hAnsi="宋体" w:eastAsia="宋体"/>
          <w:color w:val="auto"/>
          <w:sz w:val="24"/>
          <w:szCs w:val="24"/>
          <w:lang w:eastAsia="zh-CN"/>
        </w:rPr>
      </w:pPr>
    </w:p>
    <w:p w14:paraId="405C138A">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6D6C2739">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十、反商业贿赂承诺书</w:t>
      </w:r>
    </w:p>
    <w:p w14:paraId="5D2A3CB7">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我公司承诺：</w:t>
      </w:r>
    </w:p>
    <w:p w14:paraId="0189A09D">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在</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（采购项目名称）采购活动中，我公司保证做到：</w:t>
      </w:r>
    </w:p>
    <w:p w14:paraId="250188CB">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1. 公平竞争参加本次采购活动。</w:t>
      </w:r>
    </w:p>
    <w:p w14:paraId="56AA7A0A">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2. 杜绝任何形式的商业贿赂行为。不向国家工作人员、评审专家及其亲属提供礼品礼金、有价证券、购物券、回扣、佣金、咨询费、劳务费、赞助费、宣传费、宴请；不为其报销各种消费凭证，不支付其旅游、娱乐等费用。</w:t>
      </w:r>
    </w:p>
    <w:p w14:paraId="3C777B2B">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3. 若出现上述行为，我公司及参与磋商的工作人员愿意接受按照国家法律法规等有关规定给予的处罚。</w:t>
      </w:r>
    </w:p>
    <w:p w14:paraId="3291E0D0">
      <w:pPr>
        <w:spacing w:line="360" w:lineRule="auto"/>
        <w:rPr>
          <w:rFonts w:ascii="宋体" w:hAnsi="宋体" w:eastAsia="宋体"/>
          <w:color w:val="auto"/>
          <w:sz w:val="24"/>
          <w:szCs w:val="24"/>
          <w:lang w:eastAsia="zh-CN"/>
        </w:rPr>
      </w:pPr>
    </w:p>
    <w:p w14:paraId="63BF57F4">
      <w:pPr>
        <w:spacing w:line="360" w:lineRule="auto"/>
        <w:rPr>
          <w:rFonts w:ascii="宋体" w:hAnsi="宋体" w:eastAsia="宋体"/>
          <w:color w:val="auto"/>
          <w:sz w:val="24"/>
          <w:szCs w:val="24"/>
          <w:lang w:eastAsia="zh-CN"/>
        </w:rPr>
      </w:pPr>
    </w:p>
    <w:p w14:paraId="5FF6B33A">
      <w:pPr>
        <w:spacing w:line="360" w:lineRule="auto"/>
        <w:rPr>
          <w:rFonts w:ascii="宋体" w:hAnsi="宋体" w:eastAsia="宋体"/>
          <w:color w:val="auto"/>
          <w:sz w:val="24"/>
          <w:szCs w:val="24"/>
          <w:u w:val="single"/>
          <w:lang w:eastAsia="zh-CN"/>
        </w:rPr>
      </w:pPr>
      <w:r>
        <w:rPr>
          <w:rFonts w:hint="eastAsia" w:ascii="宋体" w:hAnsi="宋体" w:eastAsia="宋体"/>
          <w:color w:val="auto"/>
          <w:sz w:val="24"/>
          <w:szCs w:val="24"/>
          <w:lang w:eastAsia="zh-CN"/>
        </w:rPr>
        <w:t>公司法人代表（签字或盖章）：</w:t>
      </w:r>
      <w:r>
        <w:rPr>
          <w:rFonts w:hint="eastAsia" w:ascii="宋体" w:hAnsi="宋体" w:eastAsia="宋体"/>
          <w:color w:val="auto"/>
          <w:sz w:val="24"/>
          <w:szCs w:val="24"/>
          <w:u w:val="single"/>
          <w:lang w:eastAsia="zh-CN"/>
        </w:rPr>
        <w:t xml:space="preserve">        </w:t>
      </w:r>
    </w:p>
    <w:p w14:paraId="76D60392">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法人授权代表（签字或盖章）：</w:t>
      </w:r>
      <w:r>
        <w:rPr>
          <w:rFonts w:hint="eastAsia" w:ascii="宋体" w:hAnsi="宋体" w:eastAsia="宋体"/>
          <w:color w:val="auto"/>
          <w:sz w:val="24"/>
          <w:szCs w:val="24"/>
          <w:u w:val="single"/>
          <w:lang w:eastAsia="zh-CN"/>
        </w:rPr>
        <w:t xml:space="preserve">        </w:t>
      </w:r>
    </w:p>
    <w:p w14:paraId="2A055D11">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供应商（公章）：</w:t>
      </w:r>
      <w:r>
        <w:rPr>
          <w:rFonts w:hint="eastAsia" w:ascii="宋体" w:hAnsi="宋体" w:eastAsia="宋体"/>
          <w:color w:val="auto"/>
          <w:sz w:val="24"/>
          <w:szCs w:val="24"/>
          <w:u w:val="single"/>
          <w:lang w:eastAsia="zh-CN"/>
        </w:rPr>
        <w:t xml:space="preserve">                       </w:t>
      </w:r>
    </w:p>
    <w:p w14:paraId="62D7D045">
      <w:pPr>
        <w:spacing w:line="360" w:lineRule="auto"/>
        <w:rPr>
          <w:rFonts w:ascii="宋体" w:hAnsi="宋体" w:eastAsia="宋体"/>
          <w:color w:val="auto"/>
          <w:sz w:val="24"/>
          <w:szCs w:val="24"/>
          <w:lang w:eastAsia="zh-CN"/>
        </w:rPr>
      </w:pPr>
      <w:r>
        <w:rPr>
          <w:rFonts w:hint="eastAsia" w:asciiTheme="minorEastAsia" w:hAnsiTheme="minorEastAsia"/>
          <w:color w:val="auto"/>
          <w:sz w:val="24"/>
          <w:szCs w:val="24"/>
          <w:lang w:eastAsia="zh-CN"/>
        </w:rPr>
        <w:t>日期：</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年</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月</w:t>
      </w:r>
      <w:r>
        <w:rPr>
          <w:rFonts w:hint="eastAsia" w:asciiTheme="minorEastAsia" w:hAnsiTheme="minorEastAsia"/>
          <w:color w:val="auto"/>
          <w:sz w:val="24"/>
          <w:szCs w:val="24"/>
          <w:u w:val="single"/>
          <w:lang w:eastAsia="zh-CN"/>
        </w:rPr>
        <w:t xml:space="preserve">   </w:t>
      </w:r>
      <w:r>
        <w:rPr>
          <w:rFonts w:hint="eastAsia" w:asciiTheme="minorEastAsia" w:hAnsiTheme="minorEastAsia"/>
          <w:color w:val="auto"/>
          <w:sz w:val="24"/>
          <w:szCs w:val="24"/>
          <w:lang w:eastAsia="zh-CN"/>
        </w:rPr>
        <w:t>日</w:t>
      </w:r>
    </w:p>
    <w:p w14:paraId="20FCBCA2">
      <w:pPr>
        <w:spacing w:line="360" w:lineRule="auto"/>
        <w:rPr>
          <w:rFonts w:ascii="宋体" w:hAnsi="宋体" w:eastAsia="宋体"/>
          <w:color w:val="auto"/>
          <w:sz w:val="24"/>
          <w:szCs w:val="24"/>
          <w:lang w:eastAsia="zh-CN"/>
        </w:rPr>
      </w:pPr>
    </w:p>
    <w:p w14:paraId="5781D13A">
      <w:pPr>
        <w:spacing w:line="360" w:lineRule="auto"/>
        <w:rPr>
          <w:rFonts w:ascii="宋体" w:hAnsi="宋体" w:eastAsia="宋体"/>
          <w:color w:val="auto"/>
          <w:sz w:val="24"/>
          <w:szCs w:val="24"/>
          <w:lang w:eastAsia="zh-CN"/>
        </w:rPr>
      </w:pPr>
    </w:p>
    <w:p w14:paraId="454BA4D2">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1EDBCDB5">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十一、中小企业声明函</w:t>
      </w:r>
    </w:p>
    <w:p w14:paraId="13FBA854">
      <w:pPr>
        <w:spacing w:line="360" w:lineRule="auto"/>
        <w:ind w:firstLine="480" w:firstLineChars="200"/>
        <w:rPr>
          <w:rFonts w:ascii="宋体" w:hAnsi="宋体" w:eastAsia="宋体"/>
          <w:color w:val="auto"/>
          <w:sz w:val="24"/>
          <w:szCs w:val="24"/>
          <w:lang w:eastAsia="zh-CN"/>
        </w:rPr>
      </w:pPr>
      <w:r>
        <w:rPr>
          <w:rFonts w:hint="eastAsia" w:ascii="宋体" w:hAnsi="宋体" w:eastAsia="宋体"/>
          <w:color w:val="auto"/>
          <w:sz w:val="24"/>
          <w:szCs w:val="24"/>
          <w:lang w:eastAsia="zh-CN"/>
        </w:rPr>
        <w:t>本公司（联合体）郑重声明，根据《政府采购促进中小企业发展管理办法》（财库﹝2020﹞46 号）的规定，本公司（联合体）参加</w:t>
      </w:r>
      <w:r>
        <w:rPr>
          <w:rFonts w:hint="eastAsia" w:ascii="宋体" w:hAnsi="宋体" w:eastAsia="宋体"/>
          <w:color w:val="auto"/>
          <w:sz w:val="24"/>
          <w:szCs w:val="24"/>
          <w:u w:val="single"/>
          <w:lang w:eastAsia="zh-CN"/>
        </w:rPr>
        <w:t xml:space="preserve">  （单位名称）</w:t>
      </w:r>
      <w:r>
        <w:rPr>
          <w:rFonts w:hint="eastAsia" w:ascii="宋体" w:hAnsi="宋体" w:eastAsia="宋体"/>
          <w:color w:val="auto"/>
          <w:sz w:val="24"/>
          <w:szCs w:val="24"/>
          <w:lang w:eastAsia="zh-CN"/>
        </w:rPr>
        <w:t>的</w:t>
      </w:r>
      <w:r>
        <w:rPr>
          <w:rFonts w:hint="eastAsia" w:ascii="宋体" w:hAnsi="宋体" w:eastAsia="宋体"/>
          <w:color w:val="auto"/>
          <w:sz w:val="24"/>
          <w:szCs w:val="24"/>
          <w:u w:val="single"/>
          <w:lang w:eastAsia="zh-CN"/>
        </w:rPr>
        <w:t>（项目名称）</w:t>
      </w:r>
      <w:r>
        <w:rPr>
          <w:rFonts w:hint="eastAsia" w:ascii="宋体" w:hAnsi="宋体" w:eastAsia="宋体"/>
          <w:color w:val="auto"/>
          <w:sz w:val="24"/>
          <w:szCs w:val="24"/>
          <w:lang w:eastAsia="zh-CN"/>
        </w:rPr>
        <w:t>采购活动，工程的施工单位全部为符合政策要求的中小企业。相关企业（含联合体中的中小企业、签订分包意向协议的中小企业）的具体情况如下：</w:t>
      </w:r>
    </w:p>
    <w:p w14:paraId="146267F5">
      <w:pPr>
        <w:spacing w:line="360" w:lineRule="auto"/>
        <w:ind w:firstLine="283" w:firstLineChars="118"/>
        <w:rPr>
          <w:rFonts w:ascii="宋体" w:hAnsi="宋体" w:eastAsia="宋体"/>
          <w:color w:val="auto"/>
          <w:sz w:val="24"/>
          <w:szCs w:val="24"/>
          <w:lang w:eastAsia="zh-CN"/>
        </w:rPr>
      </w:pPr>
      <w:r>
        <w:rPr>
          <w:rFonts w:hint="eastAsia" w:ascii="宋体" w:hAnsi="宋体" w:eastAsia="宋体"/>
          <w:color w:val="auto"/>
          <w:sz w:val="24"/>
          <w:szCs w:val="24"/>
          <w:lang w:eastAsia="zh-CN"/>
        </w:rPr>
        <w:t>1.</w:t>
      </w:r>
      <w:r>
        <w:rPr>
          <w:rFonts w:hint="eastAsia" w:ascii="宋体" w:hAnsi="宋体" w:eastAsia="宋体"/>
          <w:color w:val="auto"/>
          <w:sz w:val="24"/>
          <w:szCs w:val="24"/>
          <w:u w:val="single"/>
          <w:lang w:eastAsia="zh-CN"/>
        </w:rPr>
        <w:t>（标的名称）</w:t>
      </w:r>
      <w:r>
        <w:rPr>
          <w:rFonts w:hint="eastAsia" w:ascii="宋体" w:hAnsi="宋体" w:eastAsia="宋体"/>
          <w:color w:val="auto"/>
          <w:sz w:val="24"/>
          <w:szCs w:val="24"/>
          <w:lang w:eastAsia="zh-CN"/>
        </w:rPr>
        <w:t>，属于</w:t>
      </w:r>
      <w:r>
        <w:rPr>
          <w:rFonts w:hint="eastAsia" w:ascii="宋体" w:hAnsi="宋体" w:eastAsia="宋体"/>
          <w:color w:val="auto"/>
          <w:sz w:val="24"/>
          <w:szCs w:val="24"/>
          <w:u w:val="single"/>
          <w:lang w:eastAsia="zh-CN"/>
        </w:rPr>
        <w:t>（采购文件中明确的所属行业）</w:t>
      </w:r>
      <w:r>
        <w:rPr>
          <w:rFonts w:hint="eastAsia" w:ascii="宋体" w:hAnsi="宋体" w:eastAsia="宋体"/>
          <w:color w:val="auto"/>
          <w:sz w:val="24"/>
          <w:szCs w:val="24"/>
          <w:lang w:eastAsia="zh-CN"/>
        </w:rPr>
        <w:t>；承建（承接）企业为</w:t>
      </w:r>
      <w:r>
        <w:rPr>
          <w:rFonts w:hint="eastAsia" w:ascii="宋体" w:hAnsi="宋体" w:eastAsia="宋体"/>
          <w:color w:val="auto"/>
          <w:sz w:val="24"/>
          <w:szCs w:val="24"/>
          <w:u w:val="single"/>
          <w:lang w:eastAsia="zh-CN"/>
        </w:rPr>
        <w:t>（企业名称</w:t>
      </w:r>
      <w:r>
        <w:rPr>
          <w:rFonts w:hint="eastAsia" w:ascii="宋体" w:hAnsi="宋体" w:eastAsia="宋体"/>
          <w:color w:val="auto"/>
          <w:sz w:val="24"/>
          <w:szCs w:val="24"/>
          <w:lang w:eastAsia="zh-CN"/>
        </w:rPr>
        <w:t>），从业人员</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人，营业收入为</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万元，资产总额为</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万元①,属于</w:t>
      </w:r>
      <w:r>
        <w:rPr>
          <w:rFonts w:hint="eastAsia" w:ascii="宋体" w:hAnsi="宋体" w:eastAsia="宋体"/>
          <w:color w:val="auto"/>
          <w:sz w:val="24"/>
          <w:szCs w:val="24"/>
          <w:u w:val="single"/>
          <w:lang w:eastAsia="zh-CN"/>
        </w:rPr>
        <w:t>（中型企业、小型企业、微型企业）</w:t>
      </w:r>
      <w:r>
        <w:rPr>
          <w:rFonts w:hint="eastAsia" w:ascii="宋体" w:hAnsi="宋体" w:eastAsia="宋体"/>
          <w:color w:val="auto"/>
          <w:sz w:val="24"/>
          <w:szCs w:val="24"/>
          <w:lang w:eastAsia="zh-CN"/>
        </w:rPr>
        <w:t>；</w:t>
      </w:r>
    </w:p>
    <w:p w14:paraId="725D0B31">
      <w:pPr>
        <w:spacing w:line="360" w:lineRule="auto"/>
        <w:ind w:firstLine="283" w:firstLineChars="118"/>
        <w:rPr>
          <w:rFonts w:ascii="宋体" w:hAnsi="宋体" w:eastAsia="宋体"/>
          <w:color w:val="auto"/>
          <w:sz w:val="24"/>
          <w:szCs w:val="24"/>
          <w:lang w:eastAsia="zh-CN"/>
        </w:rPr>
      </w:pPr>
      <w:r>
        <w:rPr>
          <w:rFonts w:hint="eastAsia" w:ascii="宋体" w:hAnsi="宋体" w:eastAsia="宋体"/>
          <w:color w:val="auto"/>
          <w:sz w:val="24"/>
          <w:szCs w:val="24"/>
          <w:lang w:eastAsia="zh-CN"/>
        </w:rPr>
        <w:t>2.</w:t>
      </w:r>
      <w:r>
        <w:rPr>
          <w:rFonts w:hint="eastAsia" w:ascii="宋体" w:hAnsi="宋体" w:eastAsia="宋体"/>
          <w:color w:val="auto"/>
          <w:sz w:val="24"/>
          <w:szCs w:val="24"/>
          <w:u w:val="single"/>
          <w:lang w:eastAsia="zh-CN"/>
        </w:rPr>
        <w:t>（标的名称）</w:t>
      </w:r>
      <w:r>
        <w:rPr>
          <w:rFonts w:hint="eastAsia" w:ascii="宋体" w:hAnsi="宋体" w:eastAsia="宋体"/>
          <w:color w:val="auto"/>
          <w:sz w:val="24"/>
          <w:szCs w:val="24"/>
          <w:lang w:eastAsia="zh-CN"/>
        </w:rPr>
        <w:t>，属于</w:t>
      </w:r>
      <w:r>
        <w:rPr>
          <w:rFonts w:hint="eastAsia" w:ascii="宋体" w:hAnsi="宋体" w:eastAsia="宋体"/>
          <w:color w:val="auto"/>
          <w:sz w:val="24"/>
          <w:szCs w:val="24"/>
          <w:u w:val="single"/>
          <w:lang w:eastAsia="zh-CN"/>
        </w:rPr>
        <w:t>（采购文件中明确的所属行业）</w:t>
      </w:r>
      <w:r>
        <w:rPr>
          <w:rFonts w:hint="eastAsia" w:ascii="宋体" w:hAnsi="宋体" w:eastAsia="宋体"/>
          <w:color w:val="auto"/>
          <w:sz w:val="24"/>
          <w:szCs w:val="24"/>
          <w:lang w:eastAsia="zh-CN"/>
        </w:rPr>
        <w:t>；承建（承接）企业为</w:t>
      </w:r>
      <w:r>
        <w:rPr>
          <w:rFonts w:hint="eastAsia" w:ascii="宋体" w:hAnsi="宋体" w:eastAsia="宋体"/>
          <w:color w:val="auto"/>
          <w:sz w:val="24"/>
          <w:szCs w:val="24"/>
          <w:u w:val="single"/>
          <w:lang w:eastAsia="zh-CN"/>
        </w:rPr>
        <w:t>（企业名称）</w:t>
      </w:r>
      <w:r>
        <w:rPr>
          <w:rFonts w:hint="eastAsia" w:ascii="宋体" w:hAnsi="宋体" w:eastAsia="宋体"/>
          <w:color w:val="auto"/>
          <w:sz w:val="24"/>
          <w:szCs w:val="24"/>
          <w:lang w:eastAsia="zh-CN"/>
        </w:rPr>
        <w:t>，从业人员</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人，营业收入为</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万元，资产总额为</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万元，属于</w:t>
      </w:r>
      <w:r>
        <w:rPr>
          <w:rFonts w:hint="eastAsia" w:ascii="宋体" w:hAnsi="宋体" w:eastAsia="宋体"/>
          <w:color w:val="auto"/>
          <w:sz w:val="24"/>
          <w:szCs w:val="24"/>
          <w:u w:val="single"/>
          <w:lang w:eastAsia="zh-CN"/>
        </w:rPr>
        <w:t>（中型企业、 小型企业、微型企业）</w:t>
      </w:r>
      <w:r>
        <w:rPr>
          <w:rFonts w:hint="eastAsia" w:ascii="宋体" w:hAnsi="宋体" w:eastAsia="宋体"/>
          <w:color w:val="auto"/>
          <w:sz w:val="24"/>
          <w:szCs w:val="24"/>
          <w:lang w:eastAsia="zh-CN"/>
        </w:rPr>
        <w:t>；</w:t>
      </w:r>
    </w:p>
    <w:p w14:paraId="0FA9A3DA">
      <w:pPr>
        <w:spacing w:line="360" w:lineRule="auto"/>
        <w:ind w:firstLine="283" w:firstLineChars="118"/>
        <w:rPr>
          <w:rFonts w:ascii="宋体" w:hAnsi="宋体" w:eastAsia="宋体"/>
          <w:color w:val="auto"/>
          <w:sz w:val="24"/>
          <w:szCs w:val="24"/>
          <w:lang w:eastAsia="zh-CN"/>
        </w:rPr>
      </w:pPr>
      <w:r>
        <w:rPr>
          <w:rFonts w:hint="eastAsia" w:ascii="宋体" w:hAnsi="宋体" w:eastAsia="宋体"/>
          <w:color w:val="auto"/>
          <w:sz w:val="24"/>
          <w:szCs w:val="24"/>
          <w:lang w:eastAsia="zh-CN"/>
        </w:rPr>
        <w:t>……</w:t>
      </w:r>
    </w:p>
    <w:p w14:paraId="5977FAAE">
      <w:pPr>
        <w:spacing w:line="360" w:lineRule="auto"/>
        <w:ind w:firstLine="283" w:firstLineChars="118"/>
        <w:rPr>
          <w:rFonts w:ascii="宋体" w:hAnsi="宋体" w:eastAsia="宋体"/>
          <w:color w:val="auto"/>
          <w:sz w:val="24"/>
          <w:szCs w:val="24"/>
          <w:lang w:eastAsia="zh-CN"/>
        </w:rPr>
      </w:pPr>
      <w:r>
        <w:rPr>
          <w:rFonts w:hint="eastAsia" w:ascii="宋体" w:hAnsi="宋体" w:eastAsia="宋体"/>
          <w:color w:val="auto"/>
          <w:sz w:val="24"/>
          <w:szCs w:val="24"/>
          <w:lang w:eastAsia="zh-CN"/>
        </w:rPr>
        <w:t>以上企业，不属于大企业的分支机构，不存在控股股东 为大企业的情形，也不存在与大企业的负责人为同一人的情形。</w:t>
      </w:r>
    </w:p>
    <w:p w14:paraId="2317C715">
      <w:pPr>
        <w:spacing w:line="360" w:lineRule="auto"/>
        <w:ind w:firstLine="283" w:firstLineChars="118"/>
        <w:rPr>
          <w:rFonts w:ascii="宋体" w:hAnsi="宋体" w:eastAsia="宋体"/>
          <w:color w:val="auto"/>
          <w:sz w:val="24"/>
          <w:szCs w:val="24"/>
          <w:lang w:eastAsia="zh-CN"/>
        </w:rPr>
      </w:pPr>
      <w:r>
        <w:rPr>
          <w:rFonts w:hint="eastAsia" w:ascii="宋体" w:hAnsi="宋体" w:eastAsia="宋体"/>
          <w:color w:val="auto"/>
          <w:sz w:val="24"/>
          <w:szCs w:val="24"/>
          <w:lang w:eastAsia="zh-CN"/>
        </w:rPr>
        <w:t>本企业对上述声明内容的真实性负责。如有虚假，将依法承担相应责任。</w:t>
      </w:r>
    </w:p>
    <w:p w14:paraId="5263925C">
      <w:pPr>
        <w:spacing w:line="360" w:lineRule="auto"/>
        <w:rPr>
          <w:rFonts w:ascii="宋体" w:hAnsi="宋体" w:eastAsia="宋体"/>
          <w:color w:val="auto"/>
          <w:sz w:val="24"/>
          <w:szCs w:val="24"/>
          <w:lang w:eastAsia="zh-CN"/>
        </w:rPr>
      </w:pPr>
    </w:p>
    <w:p w14:paraId="1DFD1833">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企业名称（盖章）：</w:t>
      </w:r>
    </w:p>
    <w:p w14:paraId="7FCE8072">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日期：</w:t>
      </w:r>
    </w:p>
    <w:p w14:paraId="0FECCC6D">
      <w:pPr>
        <w:spacing w:line="360" w:lineRule="auto"/>
        <w:rPr>
          <w:rFonts w:ascii="宋体" w:hAnsi="宋体" w:eastAsia="宋体"/>
          <w:color w:val="auto"/>
          <w:sz w:val="24"/>
          <w:szCs w:val="24"/>
          <w:lang w:eastAsia="zh-CN"/>
        </w:rPr>
      </w:pPr>
    </w:p>
    <w:p w14:paraId="18FAEB26">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注：①从业人员、营业收入、资产总额填报上一年度数据，无上一年度数据的新成立企业可不填报。</w:t>
      </w:r>
    </w:p>
    <w:p w14:paraId="3F0390D7">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②以联合体形式参加政府采购活动，联合体各方均为中小企业的，联合体视同中小企业。其中，联合体各方均为小微企业的，联合体视同小微企业。</w:t>
      </w:r>
    </w:p>
    <w:p w14:paraId="14FC217A">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③在政府采购活动中，供应商提供的工程工程由中小企业承建，即工程施工单位为中小企业的，才能享受《政府采购促进中小企业发展管理办法》规定的中小企业扶持政策。</w:t>
      </w:r>
    </w:p>
    <w:p w14:paraId="708105C1">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④在工程采购项目中，工程应当由中小企业承建，不对其中涉及的货物的制造商和服务的承接商作出要求。</w:t>
      </w:r>
    </w:p>
    <w:p w14:paraId="0864CD06">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1D3E24BA">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十二、残疾人福利性单位声明函（如有）</w:t>
      </w:r>
    </w:p>
    <w:p w14:paraId="13DF0B80">
      <w:pPr>
        <w:spacing w:line="360" w:lineRule="auto"/>
        <w:ind w:firstLine="283" w:firstLineChars="118"/>
        <w:rPr>
          <w:rFonts w:ascii="宋体" w:hAnsi="宋体" w:eastAsia="宋体"/>
          <w:color w:val="auto"/>
          <w:sz w:val="24"/>
          <w:szCs w:val="24"/>
          <w:lang w:eastAsia="zh-CN"/>
        </w:rPr>
      </w:pPr>
      <w:r>
        <w:rPr>
          <w:rFonts w:hint="eastAsia" w:ascii="宋体" w:hAnsi="宋体" w:eastAsia="宋体"/>
          <w:color w:val="auto"/>
          <w:sz w:val="24"/>
          <w:szCs w:val="24"/>
          <w:lang w:eastAsia="zh-CN"/>
        </w:rPr>
        <w:t>本单位郑重声明，根据《财政部民政部中国残疾人联合会关于促进残疾人就业政府采购政策的通知》（财库〔2017〕 141号）的规定，本单位为符合条件的残疾人福利性单位，且本单位参加</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单位的</w:t>
      </w:r>
      <w:r>
        <w:rPr>
          <w:rFonts w:hint="eastAsia" w:ascii="宋体" w:hAnsi="宋体" w:eastAsia="宋体"/>
          <w:color w:val="auto"/>
          <w:sz w:val="24"/>
          <w:szCs w:val="24"/>
          <w:u w:val="single"/>
          <w:lang w:eastAsia="zh-CN"/>
        </w:rPr>
        <w:t xml:space="preserve">            </w:t>
      </w:r>
      <w:r>
        <w:rPr>
          <w:rFonts w:hint="eastAsia" w:ascii="宋体" w:hAnsi="宋体" w:eastAsia="宋体"/>
          <w:color w:val="auto"/>
          <w:sz w:val="24"/>
          <w:szCs w:val="24"/>
          <w:lang w:eastAsia="zh-CN"/>
        </w:rPr>
        <w:t>项目采购活动提供本单位制造的货物（由本单位承担工程/提供服务），或者提供其他残疾人福利性单位制造的货物（不包括使用非残疾人福利性单位注册商标的货物）。</w:t>
      </w:r>
    </w:p>
    <w:p w14:paraId="136F085C">
      <w:pPr>
        <w:spacing w:line="360" w:lineRule="auto"/>
        <w:ind w:firstLine="283" w:firstLineChars="118"/>
        <w:rPr>
          <w:rFonts w:ascii="宋体" w:hAnsi="宋体" w:eastAsia="宋体"/>
          <w:color w:val="auto"/>
          <w:sz w:val="24"/>
          <w:szCs w:val="24"/>
          <w:lang w:eastAsia="zh-CN"/>
        </w:rPr>
      </w:pPr>
      <w:r>
        <w:rPr>
          <w:rFonts w:hint="eastAsia" w:ascii="宋体" w:hAnsi="宋体" w:eastAsia="宋体"/>
          <w:color w:val="auto"/>
          <w:sz w:val="24"/>
          <w:szCs w:val="24"/>
          <w:lang w:eastAsia="zh-CN"/>
        </w:rPr>
        <w:t>本单位对上述声明的真实性负责。如有虚假，将依法承担相应责任。</w:t>
      </w:r>
    </w:p>
    <w:p w14:paraId="37C842CB">
      <w:pPr>
        <w:spacing w:line="360" w:lineRule="auto"/>
        <w:rPr>
          <w:rFonts w:ascii="宋体" w:hAnsi="宋体" w:eastAsia="宋体"/>
          <w:color w:val="auto"/>
          <w:sz w:val="24"/>
          <w:szCs w:val="24"/>
          <w:lang w:eastAsia="zh-CN"/>
        </w:rPr>
      </w:pPr>
    </w:p>
    <w:p w14:paraId="42D13210">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单位名称（盖章）：</w:t>
      </w:r>
    </w:p>
    <w:p w14:paraId="202E54C2">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日期：</w:t>
      </w:r>
    </w:p>
    <w:p w14:paraId="4641D6CB">
      <w:pPr>
        <w:spacing w:line="360" w:lineRule="auto"/>
        <w:rPr>
          <w:rFonts w:ascii="宋体" w:hAnsi="宋体" w:eastAsia="宋体"/>
          <w:b/>
          <w:color w:val="auto"/>
          <w:sz w:val="24"/>
          <w:szCs w:val="24"/>
          <w:lang w:eastAsia="zh-CN"/>
        </w:rPr>
      </w:pPr>
      <w:r>
        <w:rPr>
          <w:rFonts w:hint="eastAsia" w:ascii="宋体" w:hAnsi="宋体" w:eastAsia="宋体"/>
          <w:b/>
          <w:color w:val="auto"/>
          <w:sz w:val="24"/>
          <w:szCs w:val="24"/>
          <w:lang w:eastAsia="zh-CN"/>
        </w:rPr>
        <w:t>（提醒：如果供应商不是残疾人福利性单位，则不需要提供《残疾人福利性单位声明函》。否则，因此导致虚假响应的后果由供应商自行承担。）</w:t>
      </w:r>
    </w:p>
    <w:p w14:paraId="79469CFD">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《财政部民政部中国残疾人联合会关于促进残疾人就业政府采购政策的通知》（财库（2017〔141〕号）的规定：</w:t>
      </w:r>
    </w:p>
    <w:p w14:paraId="572BC0EB">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1. 享受政府采购支持政策的残疾人福利性单位应当同时满足以下条件：</w:t>
      </w:r>
    </w:p>
    <w:p w14:paraId="34FEBC88">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（1）安置的残疾人占本单位在职职工人数的比例不低于25%（含25%），并且安置的残疾人人数不少于10人（含10人）；</w:t>
      </w:r>
    </w:p>
    <w:p w14:paraId="4F03A2EE">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（2）依法与安置的每位残疾人签订了一年以上（含一年）的劳动合同或服务协议；</w:t>
      </w:r>
    </w:p>
    <w:p w14:paraId="050A916E">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（3）为安置的每位残疾人按月足额缴纳了基本养老保险、基本医疗保险、失业保险、工伤保险和生育保险等社会保险费；</w:t>
      </w:r>
    </w:p>
    <w:p w14:paraId="7644DDA4">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（4）通过银行等金融机构向安置的每位残疾人，按月支付了不低于单位所在区县适用的经省级人民政府批准的月最低工资标准的工资；</w:t>
      </w:r>
    </w:p>
    <w:p w14:paraId="72D35222">
      <w:pPr>
        <w:spacing w:line="360" w:lineRule="auto"/>
        <w:rPr>
          <w:rFonts w:ascii="宋体" w:hAnsi="宋体" w:eastAsia="宋体"/>
          <w:color w:val="auto"/>
          <w:sz w:val="24"/>
          <w:szCs w:val="24"/>
          <w:lang w:eastAsia="zh-CN"/>
        </w:rPr>
      </w:pPr>
      <w:r>
        <w:rPr>
          <w:rFonts w:hint="eastAsia" w:ascii="宋体" w:hAnsi="宋体" w:eastAsia="宋体"/>
          <w:color w:val="auto"/>
          <w:sz w:val="24"/>
          <w:szCs w:val="24"/>
          <w:lang w:eastAsia="zh-CN"/>
        </w:rPr>
        <w:t>（5）提供本单位制造的货物、承担的工程或者服务（以下简称产品），或者提供其他残疾人福利性单位制造的货物（不包括使用非残疾人福利性单位注册商标的货物）。</w:t>
      </w:r>
    </w:p>
    <w:p w14:paraId="2BDF7A73">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2B811B82">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十三、监狱企业证明材料（如有）</w:t>
      </w:r>
    </w:p>
    <w:p w14:paraId="21B25D31">
      <w:pPr>
        <w:spacing w:line="360" w:lineRule="auto"/>
        <w:ind w:firstLine="600" w:firstLineChars="250"/>
        <w:rPr>
          <w:rFonts w:ascii="宋体" w:hAnsi="宋体" w:eastAsia="宋体"/>
          <w:color w:val="auto"/>
          <w:sz w:val="24"/>
          <w:szCs w:val="24"/>
          <w:lang w:eastAsia="zh-CN"/>
        </w:rPr>
      </w:pPr>
      <w:r>
        <w:rPr>
          <w:rFonts w:hint="eastAsia" w:ascii="宋体" w:hAnsi="宋体" w:eastAsia="宋体"/>
          <w:color w:val="auto"/>
          <w:sz w:val="24"/>
          <w:szCs w:val="24"/>
          <w:lang w:eastAsia="zh-CN"/>
        </w:rPr>
        <w:t>监狱企业参加政府采购活动时，应当提供由省级以上监狱管理局、戒毒管理局（含新疆生产建设兵团）出具的属于监狱企业的证明文件。</w:t>
      </w:r>
    </w:p>
    <w:p w14:paraId="705EBAA2">
      <w:pPr>
        <w:spacing w:line="360" w:lineRule="auto"/>
        <w:rPr>
          <w:rFonts w:ascii="宋体" w:hAnsi="宋体" w:eastAsia="宋体"/>
          <w:b/>
          <w:color w:val="auto"/>
          <w:sz w:val="24"/>
          <w:szCs w:val="24"/>
          <w:lang w:eastAsia="zh-CN"/>
        </w:rPr>
      </w:pPr>
      <w:r>
        <w:rPr>
          <w:rFonts w:hint="eastAsia" w:ascii="宋体" w:hAnsi="宋体" w:eastAsia="宋体"/>
          <w:b/>
          <w:color w:val="auto"/>
          <w:sz w:val="24"/>
          <w:szCs w:val="24"/>
          <w:lang w:eastAsia="zh-CN"/>
        </w:rPr>
        <w:t>（提醒：如果供应商不是监狱企业，则不需要提供监狱企业证明材料）</w:t>
      </w:r>
    </w:p>
    <w:p w14:paraId="43678F91">
      <w:pPr>
        <w:spacing w:line="360" w:lineRule="auto"/>
        <w:rPr>
          <w:rFonts w:ascii="宋体" w:hAnsi="宋体" w:eastAsia="宋体"/>
          <w:color w:val="auto"/>
          <w:sz w:val="24"/>
          <w:szCs w:val="24"/>
          <w:lang w:eastAsia="zh-CN"/>
        </w:rPr>
      </w:pPr>
    </w:p>
    <w:p w14:paraId="5D73E1BE">
      <w:pPr>
        <w:kinsoku/>
        <w:autoSpaceDE/>
        <w:autoSpaceDN/>
        <w:adjustRightInd/>
        <w:snapToGrid/>
        <w:textAlignment w:val="auto"/>
        <w:rPr>
          <w:rFonts w:ascii="宋体" w:hAnsi="宋体" w:eastAsia="宋体"/>
          <w:color w:val="auto"/>
          <w:sz w:val="24"/>
          <w:szCs w:val="24"/>
          <w:lang w:eastAsia="zh-CN"/>
        </w:rPr>
      </w:pPr>
      <w:r>
        <w:rPr>
          <w:rFonts w:ascii="宋体" w:hAnsi="宋体" w:eastAsia="宋体"/>
          <w:color w:val="auto"/>
          <w:sz w:val="24"/>
          <w:szCs w:val="24"/>
          <w:lang w:eastAsia="zh-CN"/>
        </w:rPr>
        <w:br w:type="page"/>
      </w:r>
    </w:p>
    <w:p w14:paraId="68855479">
      <w:pPr>
        <w:spacing w:line="360" w:lineRule="auto"/>
        <w:jc w:val="center"/>
        <w:rPr>
          <w:rFonts w:ascii="宋体" w:hAnsi="宋体" w:eastAsia="宋体"/>
          <w:b/>
          <w:color w:val="auto"/>
          <w:sz w:val="24"/>
          <w:szCs w:val="24"/>
          <w:lang w:eastAsia="zh-CN"/>
        </w:rPr>
      </w:pPr>
      <w:r>
        <w:rPr>
          <w:rFonts w:hint="eastAsia" w:ascii="宋体" w:hAnsi="宋体" w:eastAsia="宋体"/>
          <w:b/>
          <w:color w:val="auto"/>
          <w:sz w:val="24"/>
          <w:szCs w:val="24"/>
          <w:lang w:eastAsia="zh-CN"/>
        </w:rPr>
        <w:t>十四、其他资料</w:t>
      </w:r>
    </w:p>
    <w:p w14:paraId="6DE9B17C">
      <w:pPr>
        <w:widowControl w:val="0"/>
        <w:kinsoku/>
        <w:autoSpaceDE/>
        <w:autoSpaceDN/>
        <w:adjustRightInd/>
        <w:snapToGrid/>
        <w:spacing w:line="360" w:lineRule="auto"/>
        <w:jc w:val="both"/>
        <w:textAlignment w:val="auto"/>
        <w:rPr>
          <w:rFonts w:ascii="宋体" w:hAnsi="宋体" w:eastAsia="宋体" w:cs="Times New Roman"/>
          <w:b/>
          <w:bCs/>
          <w:snapToGrid/>
          <w:color w:val="auto"/>
          <w:sz w:val="24"/>
          <w:szCs w:val="24"/>
          <w:lang w:eastAsia="zh-CN"/>
        </w:rPr>
      </w:pPr>
      <w:r>
        <w:rPr>
          <w:rFonts w:hint="eastAsia" w:ascii="宋体" w:hAnsi="宋体" w:eastAsia="宋体" w:cs="Times New Roman"/>
          <w:b/>
          <w:bCs/>
          <w:snapToGrid/>
          <w:color w:val="auto"/>
          <w:sz w:val="24"/>
          <w:szCs w:val="24"/>
          <w:lang w:eastAsia="zh-CN"/>
        </w:rPr>
        <w:t>1.评分标准中涉及的其他内容；</w:t>
      </w:r>
    </w:p>
    <w:p w14:paraId="39B3154E">
      <w:pPr>
        <w:widowControl w:val="0"/>
        <w:kinsoku/>
        <w:autoSpaceDE/>
        <w:autoSpaceDN/>
        <w:adjustRightInd/>
        <w:snapToGrid/>
        <w:spacing w:line="360" w:lineRule="auto"/>
        <w:jc w:val="both"/>
        <w:textAlignment w:val="auto"/>
        <w:rPr>
          <w:rFonts w:ascii="宋体" w:hAnsi="宋体" w:eastAsia="宋体" w:cs="Times New Roman"/>
          <w:b/>
          <w:bCs/>
          <w:snapToGrid/>
          <w:color w:val="auto"/>
          <w:sz w:val="24"/>
          <w:szCs w:val="24"/>
          <w:lang w:eastAsia="zh-CN"/>
        </w:rPr>
      </w:pPr>
      <w:r>
        <w:rPr>
          <w:rFonts w:hint="eastAsia" w:ascii="宋体" w:hAnsi="宋体" w:eastAsia="宋体" w:cs="Times New Roman"/>
          <w:b/>
          <w:bCs/>
          <w:snapToGrid/>
          <w:color w:val="auto"/>
          <w:sz w:val="24"/>
          <w:szCs w:val="24"/>
          <w:lang w:eastAsia="zh-CN"/>
        </w:rPr>
        <w:t>2.供应商认为需要提供的其他资料。</w:t>
      </w:r>
    </w:p>
    <w:p w14:paraId="52F46692">
      <w:pPr>
        <w:kinsoku/>
        <w:autoSpaceDE/>
        <w:autoSpaceDN/>
        <w:adjustRightInd/>
        <w:snapToGrid/>
        <w:textAlignment w:val="auto"/>
        <w:rPr>
          <w:rFonts w:ascii="宋体" w:hAnsi="宋体" w:eastAsia="宋体" w:cs="Times New Roman"/>
          <w:b/>
          <w:bCs/>
          <w:snapToGrid/>
          <w:color w:val="auto"/>
          <w:sz w:val="24"/>
          <w:szCs w:val="24"/>
          <w:lang w:eastAsia="zh-CN"/>
        </w:rPr>
      </w:pPr>
      <w:r>
        <w:rPr>
          <w:rFonts w:ascii="宋体" w:hAnsi="宋体" w:eastAsia="宋体" w:cs="Times New Roman"/>
          <w:b/>
          <w:bCs/>
          <w:snapToGrid/>
          <w:color w:val="auto"/>
          <w:sz w:val="24"/>
          <w:szCs w:val="24"/>
          <w:lang w:eastAsia="zh-CN"/>
        </w:rPr>
        <w:br w:type="page"/>
      </w:r>
    </w:p>
    <w:p w14:paraId="0AD06A51">
      <w:pPr>
        <w:widowControl w:val="0"/>
        <w:kinsoku/>
        <w:autoSpaceDE/>
        <w:autoSpaceDN/>
        <w:adjustRightInd/>
        <w:snapToGrid/>
        <w:spacing w:line="360" w:lineRule="auto"/>
        <w:jc w:val="both"/>
        <w:textAlignment w:val="auto"/>
        <w:rPr>
          <w:rFonts w:ascii="宋体" w:hAnsi="宋体" w:eastAsia="宋体" w:cs="Times New Roman"/>
          <w:b/>
          <w:bCs/>
          <w:snapToGrid/>
          <w:color w:val="auto"/>
          <w:sz w:val="24"/>
          <w:szCs w:val="24"/>
          <w:lang w:eastAsia="zh-CN"/>
        </w:rPr>
      </w:pPr>
      <w:r>
        <w:rPr>
          <w:rFonts w:hint="eastAsia" w:ascii="宋体" w:hAnsi="宋体" w:eastAsia="宋体" w:cs="Times New Roman"/>
          <w:b/>
          <w:bCs/>
          <w:snapToGrid/>
          <w:color w:val="auto"/>
          <w:sz w:val="24"/>
          <w:szCs w:val="24"/>
          <w:lang w:eastAsia="zh-CN"/>
        </w:rPr>
        <w:t>附件：</w:t>
      </w:r>
    </w:p>
    <w:p w14:paraId="651F4251">
      <w:pPr>
        <w:widowControl w:val="0"/>
        <w:kinsoku/>
        <w:autoSpaceDE/>
        <w:autoSpaceDN/>
        <w:adjustRightInd/>
        <w:snapToGrid/>
        <w:ind w:firstLine="420"/>
        <w:jc w:val="center"/>
        <w:textAlignment w:val="auto"/>
        <w:rPr>
          <w:rFonts w:ascii="宋体" w:hAnsi="宋体" w:eastAsia="宋体" w:cs="宋体"/>
          <w:b/>
          <w:snapToGrid/>
          <w:color w:val="auto"/>
          <w:kern w:val="2"/>
          <w:sz w:val="28"/>
          <w:szCs w:val="28"/>
          <w:lang w:eastAsia="zh-CN"/>
        </w:rPr>
      </w:pPr>
      <w:r>
        <w:rPr>
          <w:rFonts w:hint="eastAsia" w:ascii="宋体" w:hAnsi="宋体" w:eastAsia="宋体" w:cs="宋体"/>
          <w:b/>
          <w:snapToGrid/>
          <w:color w:val="auto"/>
          <w:kern w:val="2"/>
          <w:sz w:val="28"/>
          <w:szCs w:val="28"/>
          <w:lang w:eastAsia="zh-CN"/>
        </w:rPr>
        <w:t>最终报价表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9"/>
        <w:gridCol w:w="14"/>
        <w:gridCol w:w="5904"/>
      </w:tblGrid>
      <w:tr w14:paraId="50F0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2489" w:type="dxa"/>
            <w:vAlign w:val="center"/>
          </w:tcPr>
          <w:p w14:paraId="01783911">
            <w:pPr>
              <w:widowControl w:val="0"/>
              <w:kinsoku/>
              <w:autoSpaceDE/>
              <w:autoSpaceDN/>
              <w:adjustRightInd/>
              <w:snapToGrid/>
              <w:spacing w:line="360" w:lineRule="auto"/>
              <w:ind w:firstLine="480"/>
              <w:jc w:val="both"/>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项目名称</w:t>
            </w:r>
          </w:p>
        </w:tc>
        <w:tc>
          <w:tcPr>
            <w:tcW w:w="5918" w:type="dxa"/>
            <w:gridSpan w:val="2"/>
            <w:vAlign w:val="center"/>
          </w:tcPr>
          <w:p w14:paraId="45115EA1">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r>
              <w:rPr>
                <w:rFonts w:hint="eastAsia" w:asciiTheme="minorEastAsia" w:hAnsiTheme="minorEastAsia"/>
                <w:color w:val="auto"/>
                <w:kern w:val="2"/>
                <w:sz w:val="24"/>
                <w:szCs w:val="24"/>
                <w:lang w:eastAsia="zh-CN"/>
              </w:rPr>
              <w:t>（项目名称）</w:t>
            </w:r>
          </w:p>
        </w:tc>
      </w:tr>
      <w:tr w14:paraId="1303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atLeast"/>
          <w:jc w:val="center"/>
        </w:trPr>
        <w:tc>
          <w:tcPr>
            <w:tcW w:w="2489" w:type="dxa"/>
            <w:vAlign w:val="center"/>
          </w:tcPr>
          <w:p w14:paraId="3191EFCB">
            <w:pPr>
              <w:widowControl w:val="0"/>
              <w:kinsoku/>
              <w:autoSpaceDE/>
              <w:autoSpaceDN/>
              <w:adjustRightInd/>
              <w:snapToGrid/>
              <w:spacing w:line="360" w:lineRule="auto"/>
              <w:ind w:firstLine="480"/>
              <w:jc w:val="both"/>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供应商名称</w:t>
            </w:r>
          </w:p>
        </w:tc>
        <w:tc>
          <w:tcPr>
            <w:tcW w:w="5918" w:type="dxa"/>
            <w:gridSpan w:val="2"/>
            <w:vAlign w:val="center"/>
          </w:tcPr>
          <w:p w14:paraId="18F8A12B">
            <w:pPr>
              <w:widowControl w:val="0"/>
              <w:kinsoku/>
              <w:autoSpaceDE/>
              <w:autoSpaceDN/>
              <w:adjustRightInd/>
              <w:snapToGrid/>
              <w:spacing w:line="360" w:lineRule="auto"/>
              <w:jc w:val="both"/>
              <w:textAlignment w:val="auto"/>
              <w:rPr>
                <w:rFonts w:ascii="宋体" w:hAnsi="宋体" w:eastAsia="宋体" w:cs="宋体"/>
                <w:snapToGrid/>
                <w:color w:val="auto"/>
                <w:kern w:val="2"/>
                <w:sz w:val="24"/>
                <w:szCs w:val="24"/>
                <w:lang w:eastAsia="zh-CN"/>
              </w:rPr>
            </w:pPr>
          </w:p>
        </w:tc>
      </w:tr>
      <w:tr w14:paraId="6808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2" w:hRule="atLeast"/>
          <w:jc w:val="center"/>
        </w:trPr>
        <w:tc>
          <w:tcPr>
            <w:tcW w:w="2489" w:type="dxa"/>
            <w:vAlign w:val="center"/>
          </w:tcPr>
          <w:p w14:paraId="1BBBA61E">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最终报价</w:t>
            </w:r>
          </w:p>
        </w:tc>
        <w:tc>
          <w:tcPr>
            <w:tcW w:w="5918" w:type="dxa"/>
            <w:gridSpan w:val="2"/>
            <w:vAlign w:val="center"/>
          </w:tcPr>
          <w:p w14:paraId="6A790F2E">
            <w:pPr>
              <w:widowControl w:val="0"/>
              <w:kinsoku/>
              <w:autoSpaceDE/>
              <w:autoSpaceDN/>
              <w:adjustRightInd/>
              <w:snapToGrid/>
              <w:spacing w:line="440" w:lineRule="exact"/>
              <w:jc w:val="both"/>
              <w:textAlignment w:val="auto"/>
              <w:rPr>
                <w:rFonts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人民币：大写</w:t>
            </w:r>
            <w:r>
              <w:rPr>
                <w:rFonts w:hint="eastAsia" w:ascii="宋体" w:hAnsi="宋体" w:eastAsia="宋体" w:cs="宋体"/>
                <w:snapToGrid/>
                <w:color w:val="auto"/>
                <w:kern w:val="2"/>
                <w:sz w:val="24"/>
                <w:szCs w:val="24"/>
                <w:u w:val="single"/>
                <w:lang w:eastAsia="zh-CN"/>
              </w:rPr>
              <w:t xml:space="preserve">                      </w:t>
            </w:r>
          </w:p>
          <w:p w14:paraId="60CF4360">
            <w:pPr>
              <w:widowControl w:val="0"/>
              <w:kinsoku/>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p w14:paraId="7D42C1EE">
            <w:pPr>
              <w:widowControl w:val="0"/>
              <w:kinsoku/>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小写</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val="en-US" w:eastAsia="zh-CN"/>
              </w:rPr>
              <w:t xml:space="preserve">  </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none"/>
                <w:lang w:eastAsia="zh-CN"/>
              </w:rPr>
              <w:t xml:space="preserve"> </w:t>
            </w:r>
            <w:r>
              <w:rPr>
                <w:rFonts w:hint="eastAsia" w:ascii="宋体" w:hAnsi="宋体" w:eastAsia="宋体" w:cs="宋体"/>
                <w:snapToGrid/>
                <w:color w:val="auto"/>
                <w:kern w:val="2"/>
                <w:sz w:val="24"/>
                <w:szCs w:val="24"/>
                <w:u w:val="none"/>
                <w:lang w:val="en-US" w:eastAsia="zh-CN"/>
              </w:rPr>
              <w:t xml:space="preserve"> </w:t>
            </w:r>
            <w:r>
              <w:rPr>
                <w:rFonts w:hint="eastAsia" w:ascii="宋体" w:hAnsi="宋体" w:eastAsia="宋体" w:cs="宋体"/>
                <w:snapToGrid/>
                <w:color w:val="auto"/>
                <w:kern w:val="2"/>
                <w:sz w:val="24"/>
                <w:szCs w:val="24"/>
                <w:lang w:eastAsia="zh-CN"/>
              </w:rPr>
              <w:t xml:space="preserve"> </w:t>
            </w:r>
          </w:p>
        </w:tc>
      </w:tr>
      <w:tr w14:paraId="1496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6" w:hRule="atLeast"/>
          <w:jc w:val="center"/>
        </w:trPr>
        <w:tc>
          <w:tcPr>
            <w:tcW w:w="2489" w:type="dxa"/>
            <w:vAlign w:val="center"/>
          </w:tcPr>
          <w:p w14:paraId="3ECD8190">
            <w:pPr>
              <w:widowControl w:val="0"/>
              <w:kinsoku/>
              <w:autoSpaceDE/>
              <w:autoSpaceDN/>
              <w:adjustRightInd/>
              <w:snapToGrid/>
              <w:spacing w:line="360" w:lineRule="auto"/>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其他声明</w:t>
            </w:r>
          </w:p>
        </w:tc>
        <w:tc>
          <w:tcPr>
            <w:tcW w:w="5918" w:type="dxa"/>
            <w:gridSpan w:val="2"/>
            <w:vAlign w:val="center"/>
          </w:tcPr>
          <w:p w14:paraId="1630280C">
            <w:pPr>
              <w:widowControl w:val="0"/>
              <w:kinsoku/>
              <w:autoSpaceDE/>
              <w:autoSpaceDN/>
              <w:adjustRightInd/>
              <w:snapToGrid/>
              <w:spacing w:line="440" w:lineRule="exact"/>
              <w:jc w:val="both"/>
              <w:textAlignment w:val="auto"/>
              <w:rPr>
                <w:rFonts w:ascii="宋体" w:hAnsi="宋体" w:eastAsia="宋体" w:cs="宋体"/>
                <w:snapToGrid/>
                <w:color w:val="auto"/>
                <w:kern w:val="2"/>
                <w:sz w:val="24"/>
                <w:szCs w:val="24"/>
                <w:lang w:eastAsia="zh-CN"/>
              </w:rPr>
            </w:pPr>
          </w:p>
        </w:tc>
      </w:tr>
      <w:tr w14:paraId="6353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2503" w:type="dxa"/>
            <w:gridSpan w:val="2"/>
            <w:vAlign w:val="center"/>
          </w:tcPr>
          <w:p w14:paraId="213C4CDB">
            <w:pPr>
              <w:widowControl w:val="0"/>
              <w:kinsoku/>
              <w:autoSpaceDE/>
              <w:autoSpaceDN/>
              <w:adjustRightInd/>
              <w:snapToGrid/>
              <w:spacing w:line="360" w:lineRule="auto"/>
              <w:ind w:hanging="43"/>
              <w:jc w:val="center"/>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承诺</w:t>
            </w:r>
          </w:p>
        </w:tc>
        <w:tc>
          <w:tcPr>
            <w:tcW w:w="5904" w:type="dxa"/>
            <w:vAlign w:val="center"/>
          </w:tcPr>
          <w:p w14:paraId="6B2A1E96">
            <w:pPr>
              <w:widowControl w:val="0"/>
              <w:kinsoku/>
              <w:autoSpaceDE/>
              <w:autoSpaceDN/>
              <w:adjustRightInd/>
              <w:snapToGrid/>
              <w:spacing w:line="360" w:lineRule="auto"/>
              <w:ind w:firstLine="480"/>
              <w:jc w:val="both"/>
              <w:textAlignment w:val="auto"/>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我方所填写的最终报价如成交，即为成交合同价。我方将于成交通知书发出后及时与采购人签订合同。如逾期不与采购人签订合同，视为自动放弃成交。</w:t>
            </w:r>
          </w:p>
        </w:tc>
      </w:tr>
    </w:tbl>
    <w:p w14:paraId="118CA2B2">
      <w:pPr>
        <w:pStyle w:val="8"/>
        <w:numPr>
          <w:ilvl w:val="0"/>
          <w:numId w:val="0"/>
        </w:numPr>
        <w:jc w:val="center"/>
        <w:rPr>
          <w:rFonts w:hint="eastAsia" w:ascii="宋体" w:hAnsi="宋体" w:eastAsia="宋体" w:cs="宋体"/>
          <w:b/>
          <w:bCs/>
          <w:snapToGrid/>
          <w:color w:val="auto"/>
          <w:kern w:val="2"/>
          <w:sz w:val="24"/>
          <w:szCs w:val="24"/>
          <w:lang w:eastAsia="zh-CN"/>
        </w:rPr>
      </w:pPr>
    </w:p>
    <w:p w14:paraId="34079AD4">
      <w:pPr>
        <w:spacing w:line="360" w:lineRule="auto"/>
        <w:ind w:firstLine="422" w:firstLineChars="200"/>
        <w:rPr>
          <w:rFonts w:ascii="宋体" w:hAnsi="宋体" w:eastAsia="宋体" w:cs="宋体"/>
          <w:b/>
          <w:bCs/>
          <w:snapToGrid/>
          <w:color w:val="auto"/>
          <w:kern w:val="2"/>
          <w:sz w:val="28"/>
          <w:szCs w:val="28"/>
          <w:lang w:eastAsia="zh-CN"/>
        </w:rPr>
      </w:pPr>
      <w:r>
        <w:rPr>
          <w:rFonts w:hint="eastAsia" w:ascii="宋体" w:hAnsi="宋体" w:cs="宋体"/>
          <w:b/>
          <w:bCs/>
          <w:color w:val="auto"/>
          <w:szCs w:val="21"/>
        </w:rPr>
        <w:t>注：此报价表为</w:t>
      </w:r>
      <w:r>
        <w:rPr>
          <w:rFonts w:hint="eastAsia" w:ascii="宋体" w:hAnsi="宋体" w:cs="宋体"/>
          <w:b/>
          <w:bCs/>
          <w:color w:val="auto"/>
          <w:szCs w:val="21"/>
          <w:lang w:eastAsia="zh-CN"/>
        </w:rPr>
        <w:t>供应商</w:t>
      </w:r>
      <w:r>
        <w:rPr>
          <w:rFonts w:hint="eastAsia" w:ascii="宋体" w:hAnsi="宋体" w:cs="宋体"/>
          <w:b/>
          <w:bCs/>
          <w:color w:val="auto"/>
          <w:szCs w:val="21"/>
        </w:rPr>
        <w:t>最终报价使用，请</w:t>
      </w:r>
      <w:r>
        <w:rPr>
          <w:rFonts w:hint="eastAsia" w:ascii="宋体" w:hAnsi="宋体" w:cs="宋体"/>
          <w:b/>
          <w:bCs/>
          <w:color w:val="auto"/>
          <w:szCs w:val="21"/>
          <w:lang w:eastAsia="zh-CN"/>
        </w:rPr>
        <w:t>供应商</w:t>
      </w:r>
      <w:r>
        <w:rPr>
          <w:rFonts w:hint="eastAsia" w:ascii="宋体" w:hAnsi="宋体" w:cs="宋体"/>
          <w:b/>
          <w:bCs/>
          <w:color w:val="auto"/>
          <w:szCs w:val="21"/>
        </w:rPr>
        <w:t>携带好加盖公章的最终报价表</w:t>
      </w:r>
      <w:r>
        <w:rPr>
          <w:rFonts w:hint="eastAsia" w:ascii="宋体" w:hAnsi="宋体" w:cs="宋体"/>
          <w:b/>
          <w:bCs/>
          <w:color w:val="auto"/>
          <w:szCs w:val="21"/>
          <w:lang w:eastAsia="zh-CN"/>
        </w:rPr>
        <w:t>、</w:t>
      </w:r>
      <w:r>
        <w:rPr>
          <w:rFonts w:hint="eastAsia" w:ascii="宋体" w:hAnsi="宋体" w:cs="宋体"/>
          <w:b/>
          <w:bCs/>
          <w:color w:val="auto"/>
          <w:szCs w:val="21"/>
        </w:rPr>
        <w:t>最终分项报价表</w:t>
      </w:r>
      <w:r>
        <w:rPr>
          <w:rFonts w:hint="eastAsia" w:ascii="宋体" w:hAnsi="宋体" w:cs="宋体"/>
          <w:b/>
          <w:bCs/>
          <w:color w:val="auto"/>
          <w:szCs w:val="21"/>
          <w:lang w:eastAsia="zh-CN"/>
        </w:rPr>
        <w:t>以及最终单价报价表</w:t>
      </w:r>
      <w:r>
        <w:rPr>
          <w:rFonts w:hint="eastAsia" w:ascii="宋体" w:hAnsi="宋体" w:cs="宋体"/>
          <w:b/>
          <w:bCs/>
          <w:color w:val="auto"/>
          <w:szCs w:val="21"/>
        </w:rPr>
        <w:t>，现场</w:t>
      </w:r>
      <w:r>
        <w:rPr>
          <w:rFonts w:hint="eastAsia" w:ascii="宋体" w:hAnsi="宋体" w:cs="宋体"/>
          <w:b/>
          <w:bCs/>
          <w:color w:val="auto"/>
          <w:szCs w:val="21"/>
          <w:lang w:eastAsia="zh-CN"/>
        </w:rPr>
        <w:t>磋商</w:t>
      </w:r>
      <w:r>
        <w:rPr>
          <w:rFonts w:hint="eastAsia" w:ascii="宋体" w:hAnsi="宋体" w:cs="宋体"/>
          <w:b/>
          <w:bCs/>
          <w:color w:val="auto"/>
          <w:szCs w:val="21"/>
        </w:rPr>
        <w:t>使用，响应文件中请勿附此项内容。</w:t>
      </w:r>
    </w:p>
    <w:p w14:paraId="597EE276">
      <w:pPr>
        <w:widowControl w:val="0"/>
        <w:kinsoku/>
        <w:autoSpaceDE/>
        <w:autoSpaceDN/>
        <w:adjustRightInd/>
        <w:snapToGrid/>
        <w:spacing w:line="360" w:lineRule="auto"/>
        <w:ind w:firstLine="554" w:firstLineChars="198"/>
        <w:jc w:val="both"/>
        <w:textAlignment w:val="auto"/>
        <w:rPr>
          <w:rFonts w:ascii="宋体" w:hAnsi="宋体" w:eastAsia="宋体" w:cs="宋体"/>
          <w:snapToGrid/>
          <w:color w:val="auto"/>
          <w:kern w:val="2"/>
          <w:sz w:val="28"/>
          <w:szCs w:val="28"/>
          <w:u w:val="single"/>
          <w:lang w:eastAsia="zh-CN"/>
        </w:rPr>
      </w:pPr>
      <w:r>
        <w:rPr>
          <w:rFonts w:hint="eastAsia" w:ascii="宋体" w:hAnsi="宋体" w:eastAsia="宋体" w:cs="宋体"/>
          <w:snapToGrid/>
          <w:color w:val="auto"/>
          <w:kern w:val="2"/>
          <w:sz w:val="28"/>
          <w:szCs w:val="28"/>
          <w:lang w:eastAsia="zh-CN"/>
        </w:rPr>
        <w:t>供应商：</w:t>
      </w:r>
      <w:r>
        <w:rPr>
          <w:rFonts w:hint="eastAsia" w:ascii="宋体" w:hAnsi="宋体" w:eastAsia="宋体" w:cs="宋体"/>
          <w:snapToGrid/>
          <w:color w:val="auto"/>
          <w:kern w:val="2"/>
          <w:sz w:val="28"/>
          <w:szCs w:val="28"/>
          <w:u w:val="single"/>
          <w:lang w:eastAsia="zh-CN"/>
        </w:rPr>
        <w:t xml:space="preserve">                             </w:t>
      </w:r>
      <w:r>
        <w:rPr>
          <w:rFonts w:hint="eastAsia" w:ascii="宋体" w:hAnsi="宋体" w:eastAsia="宋体" w:cs="宋体"/>
          <w:snapToGrid/>
          <w:color w:val="auto"/>
          <w:kern w:val="2"/>
          <w:sz w:val="28"/>
          <w:szCs w:val="28"/>
          <w:lang w:eastAsia="zh-CN"/>
        </w:rPr>
        <w:t>（盖章）</w:t>
      </w:r>
    </w:p>
    <w:p w14:paraId="08A40173">
      <w:pPr>
        <w:widowControl w:val="0"/>
        <w:kinsoku/>
        <w:autoSpaceDE/>
        <w:autoSpaceDN/>
        <w:adjustRightInd/>
        <w:snapToGrid/>
        <w:spacing w:line="360" w:lineRule="auto"/>
        <w:ind w:firstLine="546" w:firstLineChars="195"/>
        <w:jc w:val="both"/>
        <w:textAlignment w:val="auto"/>
        <w:rPr>
          <w:rFonts w:ascii="宋体" w:hAnsi="宋体" w:eastAsia="宋体" w:cs="宋体"/>
          <w:bCs/>
          <w:snapToGrid/>
          <w:color w:val="auto"/>
          <w:kern w:val="2"/>
          <w:sz w:val="28"/>
          <w:szCs w:val="28"/>
          <w:u w:val="single"/>
          <w:lang w:eastAsia="zh-CN"/>
        </w:rPr>
      </w:pPr>
      <w:r>
        <w:rPr>
          <w:rFonts w:hint="eastAsia" w:ascii="宋体" w:hAnsi="宋体" w:eastAsia="宋体" w:cs="宋体"/>
          <w:snapToGrid/>
          <w:color w:val="auto"/>
          <w:kern w:val="2"/>
          <w:sz w:val="28"/>
          <w:szCs w:val="28"/>
          <w:lang w:eastAsia="zh-CN"/>
        </w:rPr>
        <w:t>法定代表人(或委托代理人)签字或盖章：</w:t>
      </w:r>
      <w:r>
        <w:rPr>
          <w:rFonts w:hint="eastAsia" w:ascii="宋体" w:hAnsi="宋体" w:eastAsia="宋体" w:cs="宋体"/>
          <w:snapToGrid/>
          <w:color w:val="auto"/>
          <w:kern w:val="2"/>
          <w:sz w:val="28"/>
          <w:szCs w:val="28"/>
          <w:u w:val="single"/>
          <w:lang w:eastAsia="zh-CN"/>
        </w:rPr>
        <w:t xml:space="preserve">            </w:t>
      </w:r>
    </w:p>
    <w:p w14:paraId="6D986A34">
      <w:pPr>
        <w:widowControl w:val="0"/>
        <w:kinsoku/>
        <w:autoSpaceDE/>
        <w:autoSpaceDN/>
        <w:adjustRightInd/>
        <w:snapToGrid/>
        <w:spacing w:line="360" w:lineRule="auto"/>
        <w:ind w:firstLine="560" w:firstLineChars="200"/>
        <w:jc w:val="both"/>
        <w:textAlignment w:val="auto"/>
        <w:rPr>
          <w:rFonts w:ascii="宋体" w:hAnsi="宋体" w:eastAsia="宋体" w:cs="宋体"/>
          <w:bCs/>
          <w:snapToGrid/>
          <w:color w:val="auto"/>
          <w:kern w:val="2"/>
          <w:sz w:val="28"/>
          <w:szCs w:val="28"/>
          <w:lang w:eastAsia="zh-CN"/>
        </w:rPr>
      </w:pPr>
      <w:r>
        <w:rPr>
          <w:rFonts w:hint="eastAsia" w:ascii="宋体" w:hAnsi="宋体" w:eastAsia="宋体" w:cs="宋体"/>
          <w:bCs/>
          <w:snapToGrid/>
          <w:color w:val="auto"/>
          <w:kern w:val="2"/>
          <w:sz w:val="28"/>
          <w:szCs w:val="28"/>
          <w:lang w:eastAsia="zh-CN"/>
        </w:rPr>
        <w:t xml:space="preserve">年   月   日 </w:t>
      </w:r>
    </w:p>
    <w:p w14:paraId="09666563">
      <w:pPr>
        <w:widowControl w:val="0"/>
        <w:kinsoku/>
        <w:autoSpaceDE/>
        <w:autoSpaceDN/>
        <w:adjustRightInd/>
        <w:snapToGrid/>
        <w:spacing w:line="360" w:lineRule="auto"/>
        <w:jc w:val="both"/>
        <w:textAlignment w:val="auto"/>
        <w:rPr>
          <w:rFonts w:ascii="宋体" w:hAnsi="宋体" w:eastAsia="宋体" w:cs="Times New Roman"/>
          <w:b/>
          <w:bCs/>
          <w:snapToGrid/>
          <w:color w:val="auto"/>
          <w:sz w:val="24"/>
          <w:szCs w:val="24"/>
          <w:lang w:eastAsia="zh-CN"/>
        </w:rPr>
      </w:pPr>
    </w:p>
    <w:p w14:paraId="2F624C64">
      <w:pPr>
        <w:spacing w:line="360" w:lineRule="auto"/>
        <w:jc w:val="center"/>
        <w:rPr>
          <w:rFonts w:ascii="宋体" w:hAnsi="宋体" w:eastAsia="宋体"/>
          <w:b/>
          <w:color w:val="auto"/>
          <w:sz w:val="24"/>
          <w:szCs w:val="24"/>
          <w:lang w:eastAsia="zh-CN"/>
        </w:rPr>
      </w:pPr>
    </w:p>
    <w:sectPr>
      <w:footerReference r:id="rId3" w:type="default"/>
      <w:pgSz w:w="11906" w:h="16838"/>
      <w:pgMar w:top="1440" w:right="1286"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81585"/>
      <w:docPartObj>
        <w:docPartGallery w:val="autotext"/>
      </w:docPartObj>
    </w:sdtPr>
    <w:sdtContent>
      <w:p w14:paraId="09CA221D">
        <w:pPr>
          <w:pStyle w:val="14"/>
          <w:jc w:val="center"/>
        </w:pPr>
        <w:r>
          <w:fldChar w:fldCharType="begin"/>
        </w:r>
        <w:r>
          <w:instrText xml:space="preserve"> PAGE   \* MERGEFORMAT </w:instrText>
        </w:r>
        <w:r>
          <w:fldChar w:fldCharType="separate"/>
        </w:r>
        <w:r>
          <w:rPr>
            <w:lang w:val="zh-CN"/>
          </w:rPr>
          <w:t>20</w:t>
        </w:r>
        <w:r>
          <w:rPr>
            <w:lang w:val="zh-CN"/>
          </w:rPr>
          <w:fldChar w:fldCharType="end"/>
        </w:r>
      </w:p>
    </w:sdtContent>
  </w:sdt>
  <w:p w14:paraId="7273825E">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73B5F"/>
    <w:multiLevelType w:val="singleLevel"/>
    <w:tmpl w:val="8EE73B5F"/>
    <w:lvl w:ilvl="0" w:tentative="0">
      <w:start w:val="1"/>
      <w:numFmt w:val="decimal"/>
      <w:lvlText w:val="%1."/>
      <w:lvlJc w:val="left"/>
      <w:pPr>
        <w:tabs>
          <w:tab w:val="left" w:pos="312"/>
        </w:tabs>
      </w:pPr>
    </w:lvl>
  </w:abstractNum>
  <w:abstractNum w:abstractNumId="1">
    <w:nsid w:val="9A27F93E"/>
    <w:multiLevelType w:val="singleLevel"/>
    <w:tmpl w:val="9A27F93E"/>
    <w:lvl w:ilvl="0" w:tentative="0">
      <w:start w:val="3"/>
      <w:numFmt w:val="chineseCounting"/>
      <w:suff w:val="nothing"/>
      <w:lvlText w:val="%1、"/>
      <w:lvlJc w:val="left"/>
      <w:rPr>
        <w:rFonts w:hint="eastAsia"/>
      </w:rPr>
    </w:lvl>
  </w:abstractNum>
  <w:abstractNum w:abstractNumId="2">
    <w:nsid w:val="BDA327DA"/>
    <w:multiLevelType w:val="singleLevel"/>
    <w:tmpl w:val="BDA327DA"/>
    <w:lvl w:ilvl="0" w:tentative="0">
      <w:start w:val="2"/>
      <w:numFmt w:val="chineseCounting"/>
      <w:suff w:val="space"/>
      <w:lvlText w:val="第%1部分"/>
      <w:lvlJc w:val="left"/>
      <w:rPr>
        <w:rFonts w:hint="eastAsia"/>
      </w:rPr>
    </w:lvl>
  </w:abstractNum>
  <w:abstractNum w:abstractNumId="3">
    <w:nsid w:val="CE2EF864"/>
    <w:multiLevelType w:val="singleLevel"/>
    <w:tmpl w:val="CE2EF864"/>
    <w:lvl w:ilvl="0" w:tentative="0">
      <w:start w:val="4"/>
      <w:numFmt w:val="chineseCounting"/>
      <w:suff w:val="space"/>
      <w:lvlText w:val="第%1章"/>
      <w:lvlJc w:val="left"/>
      <w:rPr>
        <w:rFonts w:hint="eastAsia"/>
      </w:rPr>
    </w:lvl>
  </w:abstractNum>
  <w:abstractNum w:abstractNumId="4">
    <w:nsid w:val="4F3FF634"/>
    <w:multiLevelType w:val="singleLevel"/>
    <w:tmpl w:val="4F3FF634"/>
    <w:lvl w:ilvl="0" w:tentative="0">
      <w:start w:val="2"/>
      <w:numFmt w:val="decimal"/>
      <w:lvlText w:val="%1."/>
      <w:lvlJc w:val="left"/>
      <w:pPr>
        <w:tabs>
          <w:tab w:val="left" w:pos="312"/>
        </w:tabs>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hhMDhkZTYyM2M4ZmYzY2Q1ZmRhZjhlNDlmNGI4MjQifQ=="/>
  </w:docVars>
  <w:rsids>
    <w:rsidRoot w:val="00D05372"/>
    <w:rsid w:val="00004831"/>
    <w:rsid w:val="00020858"/>
    <w:rsid w:val="00025032"/>
    <w:rsid w:val="000306B8"/>
    <w:rsid w:val="00031610"/>
    <w:rsid w:val="00031B0E"/>
    <w:rsid w:val="000369B1"/>
    <w:rsid w:val="00042825"/>
    <w:rsid w:val="000474C5"/>
    <w:rsid w:val="00060B51"/>
    <w:rsid w:val="00065B80"/>
    <w:rsid w:val="00074722"/>
    <w:rsid w:val="000775D7"/>
    <w:rsid w:val="00077F25"/>
    <w:rsid w:val="0008098E"/>
    <w:rsid w:val="00083AE1"/>
    <w:rsid w:val="000A528A"/>
    <w:rsid w:val="000A59FF"/>
    <w:rsid w:val="000A7D9B"/>
    <w:rsid w:val="000C24DD"/>
    <w:rsid w:val="000C5B99"/>
    <w:rsid w:val="000D398B"/>
    <w:rsid w:val="000E487B"/>
    <w:rsid w:val="000F38FD"/>
    <w:rsid w:val="00100B61"/>
    <w:rsid w:val="00105F18"/>
    <w:rsid w:val="00115166"/>
    <w:rsid w:val="001310D1"/>
    <w:rsid w:val="0013220C"/>
    <w:rsid w:val="00142ED8"/>
    <w:rsid w:val="00143915"/>
    <w:rsid w:val="001502C1"/>
    <w:rsid w:val="001529FB"/>
    <w:rsid w:val="001535AC"/>
    <w:rsid w:val="00165AFA"/>
    <w:rsid w:val="001660A4"/>
    <w:rsid w:val="00170349"/>
    <w:rsid w:val="0017538B"/>
    <w:rsid w:val="00180B6B"/>
    <w:rsid w:val="0018725E"/>
    <w:rsid w:val="00187E53"/>
    <w:rsid w:val="001911D6"/>
    <w:rsid w:val="00192284"/>
    <w:rsid w:val="001C076E"/>
    <w:rsid w:val="001C3F7F"/>
    <w:rsid w:val="001D01B9"/>
    <w:rsid w:val="001D30B9"/>
    <w:rsid w:val="001D38AB"/>
    <w:rsid w:val="001D3EE7"/>
    <w:rsid w:val="001E10C4"/>
    <w:rsid w:val="0022545F"/>
    <w:rsid w:val="00231BBB"/>
    <w:rsid w:val="00240D80"/>
    <w:rsid w:val="00245F96"/>
    <w:rsid w:val="00252465"/>
    <w:rsid w:val="00254B62"/>
    <w:rsid w:val="0028426E"/>
    <w:rsid w:val="00295553"/>
    <w:rsid w:val="00296FA5"/>
    <w:rsid w:val="002B452C"/>
    <w:rsid w:val="002D5BDB"/>
    <w:rsid w:val="002F0589"/>
    <w:rsid w:val="002F49BD"/>
    <w:rsid w:val="00306A3B"/>
    <w:rsid w:val="003078D4"/>
    <w:rsid w:val="00311824"/>
    <w:rsid w:val="00314626"/>
    <w:rsid w:val="00322B7B"/>
    <w:rsid w:val="00334FDB"/>
    <w:rsid w:val="0034008C"/>
    <w:rsid w:val="003470C4"/>
    <w:rsid w:val="0035506A"/>
    <w:rsid w:val="00371696"/>
    <w:rsid w:val="00373AF6"/>
    <w:rsid w:val="00373BDD"/>
    <w:rsid w:val="00380F89"/>
    <w:rsid w:val="00391F84"/>
    <w:rsid w:val="003B1042"/>
    <w:rsid w:val="003B2794"/>
    <w:rsid w:val="003B62C1"/>
    <w:rsid w:val="003B6BEF"/>
    <w:rsid w:val="003C280E"/>
    <w:rsid w:val="003D2054"/>
    <w:rsid w:val="003E35CB"/>
    <w:rsid w:val="003F3D70"/>
    <w:rsid w:val="0040087F"/>
    <w:rsid w:val="00411758"/>
    <w:rsid w:val="00412186"/>
    <w:rsid w:val="0042627F"/>
    <w:rsid w:val="00432072"/>
    <w:rsid w:val="00432803"/>
    <w:rsid w:val="00440DFF"/>
    <w:rsid w:val="004659BC"/>
    <w:rsid w:val="00467812"/>
    <w:rsid w:val="00472C11"/>
    <w:rsid w:val="00482DCA"/>
    <w:rsid w:val="00486398"/>
    <w:rsid w:val="004879B3"/>
    <w:rsid w:val="004A5E23"/>
    <w:rsid w:val="004A6434"/>
    <w:rsid w:val="004D03A0"/>
    <w:rsid w:val="004D1DD3"/>
    <w:rsid w:val="004E1CF0"/>
    <w:rsid w:val="004F07DC"/>
    <w:rsid w:val="005013A0"/>
    <w:rsid w:val="0050292D"/>
    <w:rsid w:val="00510FD4"/>
    <w:rsid w:val="00514FE9"/>
    <w:rsid w:val="005150EC"/>
    <w:rsid w:val="0051746C"/>
    <w:rsid w:val="00517873"/>
    <w:rsid w:val="005268A7"/>
    <w:rsid w:val="00534801"/>
    <w:rsid w:val="005355B5"/>
    <w:rsid w:val="00547C70"/>
    <w:rsid w:val="00553D3D"/>
    <w:rsid w:val="005562D9"/>
    <w:rsid w:val="00566AA8"/>
    <w:rsid w:val="00567408"/>
    <w:rsid w:val="005720B0"/>
    <w:rsid w:val="0057570F"/>
    <w:rsid w:val="00587C92"/>
    <w:rsid w:val="005A171C"/>
    <w:rsid w:val="005A2900"/>
    <w:rsid w:val="005A38A0"/>
    <w:rsid w:val="005A77DA"/>
    <w:rsid w:val="005B222C"/>
    <w:rsid w:val="005B3F9C"/>
    <w:rsid w:val="005C104F"/>
    <w:rsid w:val="005D004E"/>
    <w:rsid w:val="005D3D8B"/>
    <w:rsid w:val="005E01BD"/>
    <w:rsid w:val="005E30CC"/>
    <w:rsid w:val="005E71FC"/>
    <w:rsid w:val="00605D19"/>
    <w:rsid w:val="00616CF8"/>
    <w:rsid w:val="00633484"/>
    <w:rsid w:val="00635F2A"/>
    <w:rsid w:val="00636811"/>
    <w:rsid w:val="00637CC2"/>
    <w:rsid w:val="00650D02"/>
    <w:rsid w:val="006535BF"/>
    <w:rsid w:val="006619B9"/>
    <w:rsid w:val="006627B6"/>
    <w:rsid w:val="006827B5"/>
    <w:rsid w:val="00684FBE"/>
    <w:rsid w:val="00695EA6"/>
    <w:rsid w:val="006B1703"/>
    <w:rsid w:val="006B2C81"/>
    <w:rsid w:val="006B727D"/>
    <w:rsid w:val="006B7A93"/>
    <w:rsid w:val="006C5CDE"/>
    <w:rsid w:val="006D05AB"/>
    <w:rsid w:val="006D698E"/>
    <w:rsid w:val="006E075D"/>
    <w:rsid w:val="006E3580"/>
    <w:rsid w:val="006F781F"/>
    <w:rsid w:val="007061B3"/>
    <w:rsid w:val="00714AFB"/>
    <w:rsid w:val="00732FE7"/>
    <w:rsid w:val="00735B51"/>
    <w:rsid w:val="00741899"/>
    <w:rsid w:val="00744CDD"/>
    <w:rsid w:val="0076031C"/>
    <w:rsid w:val="00771B2E"/>
    <w:rsid w:val="0079228F"/>
    <w:rsid w:val="007946FE"/>
    <w:rsid w:val="007A275D"/>
    <w:rsid w:val="007B069B"/>
    <w:rsid w:val="007B0D0E"/>
    <w:rsid w:val="007B516A"/>
    <w:rsid w:val="007B593C"/>
    <w:rsid w:val="007C13EE"/>
    <w:rsid w:val="007C4431"/>
    <w:rsid w:val="007C49EB"/>
    <w:rsid w:val="007C605D"/>
    <w:rsid w:val="007C6876"/>
    <w:rsid w:val="007D6A00"/>
    <w:rsid w:val="007D73A1"/>
    <w:rsid w:val="007E0410"/>
    <w:rsid w:val="007E27BA"/>
    <w:rsid w:val="007E36F6"/>
    <w:rsid w:val="007F21D4"/>
    <w:rsid w:val="008047FB"/>
    <w:rsid w:val="00805AE9"/>
    <w:rsid w:val="008130B8"/>
    <w:rsid w:val="00820323"/>
    <w:rsid w:val="00822D70"/>
    <w:rsid w:val="008311E9"/>
    <w:rsid w:val="00833AAD"/>
    <w:rsid w:val="0083439E"/>
    <w:rsid w:val="00840D8F"/>
    <w:rsid w:val="00865715"/>
    <w:rsid w:val="00867060"/>
    <w:rsid w:val="00877C62"/>
    <w:rsid w:val="008834F6"/>
    <w:rsid w:val="00891EDD"/>
    <w:rsid w:val="008A08AF"/>
    <w:rsid w:val="008B3BFB"/>
    <w:rsid w:val="008B3DFC"/>
    <w:rsid w:val="008B74EE"/>
    <w:rsid w:val="008C7C6B"/>
    <w:rsid w:val="008D75F1"/>
    <w:rsid w:val="008F0FF3"/>
    <w:rsid w:val="008F5B50"/>
    <w:rsid w:val="0090013C"/>
    <w:rsid w:val="00907A9C"/>
    <w:rsid w:val="00915620"/>
    <w:rsid w:val="0093196E"/>
    <w:rsid w:val="00937BD6"/>
    <w:rsid w:val="00942CFE"/>
    <w:rsid w:val="009548C3"/>
    <w:rsid w:val="00956507"/>
    <w:rsid w:val="00962FF7"/>
    <w:rsid w:val="00967CDC"/>
    <w:rsid w:val="00993984"/>
    <w:rsid w:val="009B3DC7"/>
    <w:rsid w:val="009D38D9"/>
    <w:rsid w:val="009E14C8"/>
    <w:rsid w:val="009E2B61"/>
    <w:rsid w:val="009E54EB"/>
    <w:rsid w:val="009F4A54"/>
    <w:rsid w:val="00A04A0A"/>
    <w:rsid w:val="00A05B1F"/>
    <w:rsid w:val="00A15A41"/>
    <w:rsid w:val="00A24545"/>
    <w:rsid w:val="00A2726B"/>
    <w:rsid w:val="00A43F93"/>
    <w:rsid w:val="00A45D37"/>
    <w:rsid w:val="00A56DD3"/>
    <w:rsid w:val="00A63406"/>
    <w:rsid w:val="00A63E97"/>
    <w:rsid w:val="00A67B8B"/>
    <w:rsid w:val="00A72EB8"/>
    <w:rsid w:val="00A76197"/>
    <w:rsid w:val="00A87A23"/>
    <w:rsid w:val="00A90DA8"/>
    <w:rsid w:val="00A92FF0"/>
    <w:rsid w:val="00AA2960"/>
    <w:rsid w:val="00AB189A"/>
    <w:rsid w:val="00AB4952"/>
    <w:rsid w:val="00AC04CD"/>
    <w:rsid w:val="00AC5B39"/>
    <w:rsid w:val="00AD78D3"/>
    <w:rsid w:val="00AF06B5"/>
    <w:rsid w:val="00AF376E"/>
    <w:rsid w:val="00AF51AC"/>
    <w:rsid w:val="00B02C79"/>
    <w:rsid w:val="00B067E1"/>
    <w:rsid w:val="00B3727D"/>
    <w:rsid w:val="00B41316"/>
    <w:rsid w:val="00B551E3"/>
    <w:rsid w:val="00B569ED"/>
    <w:rsid w:val="00B6349D"/>
    <w:rsid w:val="00B64338"/>
    <w:rsid w:val="00B64B74"/>
    <w:rsid w:val="00B67496"/>
    <w:rsid w:val="00B71A47"/>
    <w:rsid w:val="00B92198"/>
    <w:rsid w:val="00BB03AC"/>
    <w:rsid w:val="00BB7B5E"/>
    <w:rsid w:val="00BC59C5"/>
    <w:rsid w:val="00BC7449"/>
    <w:rsid w:val="00BD4858"/>
    <w:rsid w:val="00BE00FA"/>
    <w:rsid w:val="00BE09D2"/>
    <w:rsid w:val="00BE693D"/>
    <w:rsid w:val="00BF1F3C"/>
    <w:rsid w:val="00BF345F"/>
    <w:rsid w:val="00C10367"/>
    <w:rsid w:val="00C15EF8"/>
    <w:rsid w:val="00C21C57"/>
    <w:rsid w:val="00C616B9"/>
    <w:rsid w:val="00C765EC"/>
    <w:rsid w:val="00C8473F"/>
    <w:rsid w:val="00CA0A24"/>
    <w:rsid w:val="00CA2877"/>
    <w:rsid w:val="00CA2BD6"/>
    <w:rsid w:val="00CE16BC"/>
    <w:rsid w:val="00CE2565"/>
    <w:rsid w:val="00D05372"/>
    <w:rsid w:val="00D1477B"/>
    <w:rsid w:val="00D3029D"/>
    <w:rsid w:val="00D40573"/>
    <w:rsid w:val="00D47910"/>
    <w:rsid w:val="00D535BE"/>
    <w:rsid w:val="00D62190"/>
    <w:rsid w:val="00D628FF"/>
    <w:rsid w:val="00D6497D"/>
    <w:rsid w:val="00D66C3F"/>
    <w:rsid w:val="00D704A4"/>
    <w:rsid w:val="00D856DE"/>
    <w:rsid w:val="00D86738"/>
    <w:rsid w:val="00DA7518"/>
    <w:rsid w:val="00DA777E"/>
    <w:rsid w:val="00DB6C2D"/>
    <w:rsid w:val="00DC1868"/>
    <w:rsid w:val="00DD6CA7"/>
    <w:rsid w:val="00E0327D"/>
    <w:rsid w:val="00E04867"/>
    <w:rsid w:val="00E04BE9"/>
    <w:rsid w:val="00E04FC6"/>
    <w:rsid w:val="00E102FA"/>
    <w:rsid w:val="00E1390B"/>
    <w:rsid w:val="00E13F0F"/>
    <w:rsid w:val="00E14D65"/>
    <w:rsid w:val="00E167A1"/>
    <w:rsid w:val="00E20AD1"/>
    <w:rsid w:val="00E2458F"/>
    <w:rsid w:val="00E35A4D"/>
    <w:rsid w:val="00E42CAE"/>
    <w:rsid w:val="00E60C11"/>
    <w:rsid w:val="00E624A5"/>
    <w:rsid w:val="00E62D3F"/>
    <w:rsid w:val="00E73A8D"/>
    <w:rsid w:val="00E863AA"/>
    <w:rsid w:val="00E87F8E"/>
    <w:rsid w:val="00EA3D0A"/>
    <w:rsid w:val="00EA527C"/>
    <w:rsid w:val="00EB1556"/>
    <w:rsid w:val="00EB40C8"/>
    <w:rsid w:val="00EC45AF"/>
    <w:rsid w:val="00EF18BA"/>
    <w:rsid w:val="00EF5AD3"/>
    <w:rsid w:val="00EF7052"/>
    <w:rsid w:val="00EF7E21"/>
    <w:rsid w:val="00F04379"/>
    <w:rsid w:val="00F04F38"/>
    <w:rsid w:val="00F07E30"/>
    <w:rsid w:val="00F137FD"/>
    <w:rsid w:val="00F25409"/>
    <w:rsid w:val="00F366BD"/>
    <w:rsid w:val="00F43112"/>
    <w:rsid w:val="00F457E2"/>
    <w:rsid w:val="00F608FF"/>
    <w:rsid w:val="00F64F89"/>
    <w:rsid w:val="00F867D4"/>
    <w:rsid w:val="00F9410B"/>
    <w:rsid w:val="00F97554"/>
    <w:rsid w:val="00FA1889"/>
    <w:rsid w:val="00FC2C9D"/>
    <w:rsid w:val="00FE4BEE"/>
    <w:rsid w:val="00FF3CC6"/>
    <w:rsid w:val="00FF3D71"/>
    <w:rsid w:val="01811C87"/>
    <w:rsid w:val="019745D9"/>
    <w:rsid w:val="01D728CE"/>
    <w:rsid w:val="02D32802"/>
    <w:rsid w:val="03895D05"/>
    <w:rsid w:val="097E5D15"/>
    <w:rsid w:val="0A3F1B23"/>
    <w:rsid w:val="0B063C1D"/>
    <w:rsid w:val="0CAA2E80"/>
    <w:rsid w:val="0D0908D8"/>
    <w:rsid w:val="120A5407"/>
    <w:rsid w:val="128501DE"/>
    <w:rsid w:val="13855EF2"/>
    <w:rsid w:val="16FE2244"/>
    <w:rsid w:val="181B67FE"/>
    <w:rsid w:val="18B43345"/>
    <w:rsid w:val="191E2ADE"/>
    <w:rsid w:val="19570331"/>
    <w:rsid w:val="196E2B20"/>
    <w:rsid w:val="19BC6B94"/>
    <w:rsid w:val="19F93196"/>
    <w:rsid w:val="1AE466AE"/>
    <w:rsid w:val="1AED380F"/>
    <w:rsid w:val="1BE023A8"/>
    <w:rsid w:val="1FBB2AB5"/>
    <w:rsid w:val="209D6898"/>
    <w:rsid w:val="20EA01DE"/>
    <w:rsid w:val="22050526"/>
    <w:rsid w:val="220A23E4"/>
    <w:rsid w:val="23EC53FD"/>
    <w:rsid w:val="24720914"/>
    <w:rsid w:val="261D4F7E"/>
    <w:rsid w:val="2666386A"/>
    <w:rsid w:val="28CA3E8F"/>
    <w:rsid w:val="29A547A1"/>
    <w:rsid w:val="2ACB546D"/>
    <w:rsid w:val="2BE266B2"/>
    <w:rsid w:val="2C3E4BEC"/>
    <w:rsid w:val="2D7F780B"/>
    <w:rsid w:val="2EA812CC"/>
    <w:rsid w:val="313F372D"/>
    <w:rsid w:val="32946727"/>
    <w:rsid w:val="33EF4F96"/>
    <w:rsid w:val="353C245D"/>
    <w:rsid w:val="35BC534C"/>
    <w:rsid w:val="35D15423"/>
    <w:rsid w:val="375B348A"/>
    <w:rsid w:val="3852349D"/>
    <w:rsid w:val="38EA0422"/>
    <w:rsid w:val="38FB1CA8"/>
    <w:rsid w:val="39FA239B"/>
    <w:rsid w:val="3AB2403D"/>
    <w:rsid w:val="3C910A52"/>
    <w:rsid w:val="3EA03A5D"/>
    <w:rsid w:val="41347641"/>
    <w:rsid w:val="4189524B"/>
    <w:rsid w:val="41BD2B78"/>
    <w:rsid w:val="42D31744"/>
    <w:rsid w:val="467D0B27"/>
    <w:rsid w:val="47134FE8"/>
    <w:rsid w:val="483A61F4"/>
    <w:rsid w:val="48D76957"/>
    <w:rsid w:val="495D256A"/>
    <w:rsid w:val="49B572A7"/>
    <w:rsid w:val="51EE0B2B"/>
    <w:rsid w:val="52F71EE0"/>
    <w:rsid w:val="57D707BF"/>
    <w:rsid w:val="59EB59ED"/>
    <w:rsid w:val="5ADF3707"/>
    <w:rsid w:val="5C120912"/>
    <w:rsid w:val="5DC0337C"/>
    <w:rsid w:val="5DE518F9"/>
    <w:rsid w:val="5DF83352"/>
    <w:rsid w:val="5E802B0B"/>
    <w:rsid w:val="5ED92F4E"/>
    <w:rsid w:val="5F9A6008"/>
    <w:rsid w:val="619C4F63"/>
    <w:rsid w:val="63042857"/>
    <w:rsid w:val="653C2883"/>
    <w:rsid w:val="675E0601"/>
    <w:rsid w:val="6864524C"/>
    <w:rsid w:val="6A3824EC"/>
    <w:rsid w:val="6A4B0E82"/>
    <w:rsid w:val="6C004170"/>
    <w:rsid w:val="6D213816"/>
    <w:rsid w:val="6DEE7A91"/>
    <w:rsid w:val="6E2E60E0"/>
    <w:rsid w:val="6EC9405A"/>
    <w:rsid w:val="6FE70C3C"/>
    <w:rsid w:val="7458170A"/>
    <w:rsid w:val="74AC7633"/>
    <w:rsid w:val="74D15A17"/>
    <w:rsid w:val="75D82887"/>
    <w:rsid w:val="76EF6628"/>
    <w:rsid w:val="77F24707"/>
    <w:rsid w:val="788A2AAC"/>
    <w:rsid w:val="78A403F8"/>
    <w:rsid w:val="7ABD272E"/>
    <w:rsid w:val="7BE627DD"/>
    <w:rsid w:val="7CD3004C"/>
    <w:rsid w:val="7E2843D1"/>
    <w:rsid w:val="7E971A7F"/>
    <w:rsid w:val="7EE5669C"/>
    <w:rsid w:val="7F660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textAlignment w:val="baseline"/>
    </w:pPr>
    <w:rPr>
      <w:rFonts w:ascii="Arial" w:hAnsi="Arial" w:cs="Arial" w:eastAsiaTheme="minorEastAsia"/>
      <w:snapToGrid w:val="0"/>
      <w:color w:val="000000"/>
      <w:kern w:val="0"/>
      <w:sz w:val="21"/>
      <w:szCs w:val="21"/>
      <w:lang w:val="en-US" w:eastAsia="en-US" w:bidi="ar-SA"/>
    </w:rPr>
  </w:style>
  <w:style w:type="paragraph" w:styleId="5">
    <w:name w:val="heading 1"/>
    <w:basedOn w:val="1"/>
    <w:next w:val="1"/>
    <w:link w:val="43"/>
    <w:autoRedefine/>
    <w:qFormat/>
    <w:uiPriority w:val="9"/>
    <w:pPr>
      <w:keepNext/>
      <w:keepLines/>
      <w:spacing w:before="340" w:after="330" w:line="578" w:lineRule="auto"/>
      <w:outlineLvl w:val="0"/>
    </w:pPr>
    <w:rPr>
      <w:b/>
      <w:bCs/>
      <w:kern w:val="44"/>
      <w:sz w:val="44"/>
      <w:szCs w:val="44"/>
    </w:rPr>
  </w:style>
  <w:style w:type="paragraph" w:styleId="6">
    <w:name w:val="heading 3"/>
    <w:basedOn w:val="1"/>
    <w:next w:val="1"/>
    <w:autoRedefine/>
    <w:unhideWhenUsed/>
    <w:qFormat/>
    <w:uiPriority w:val="0"/>
    <w:pPr>
      <w:keepNext/>
      <w:keepLines/>
      <w:spacing w:before="260" w:beforeLines="0" w:beforeAutospacing="0" w:after="260" w:afterLines="0" w:afterAutospacing="0" w:line="413" w:lineRule="auto"/>
      <w:ind w:firstLine="0" w:firstLineChars="0"/>
      <w:outlineLvl w:val="2"/>
    </w:pPr>
    <w:rPr>
      <w:rFonts w:ascii="Times New Roman" w:hAnsi="Times New Roman" w:eastAsia="宋体"/>
      <w:b/>
      <w:sz w:val="24"/>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customStyle="1" w:styleId="2">
    <w:name w:val="无间隔1"/>
    <w:basedOn w:val="3"/>
    <w:next w:val="4"/>
    <w:autoRedefine/>
    <w:qFormat/>
    <w:uiPriority w:val="1"/>
    <w:pPr>
      <w:spacing w:line="400" w:lineRule="exact"/>
    </w:pPr>
    <w:rPr>
      <w:rFonts w:eastAsia="宋体"/>
      <w:sz w:val="24"/>
    </w:rPr>
  </w:style>
  <w:style w:type="paragraph" w:customStyle="1" w:styleId="3">
    <w:name w:val="正文_1"/>
    <w:next w:val="1"/>
    <w:autoRedefine/>
    <w:qFormat/>
    <w:uiPriority w:val="0"/>
    <w:pPr>
      <w:widowControl w:val="0"/>
      <w:jc w:val="both"/>
    </w:pPr>
    <w:rPr>
      <w:rFonts w:ascii="Calibri" w:hAnsi="Calibri" w:eastAsia="宋体" w:cs="Times New Roman"/>
      <w:kern w:val="2"/>
      <w:sz w:val="21"/>
      <w:szCs w:val="22"/>
      <w:lang w:val="en-US" w:eastAsia="zh-CN" w:bidi="ar-SA"/>
    </w:rPr>
  </w:style>
  <w:style w:type="paragraph" w:styleId="4">
    <w:name w:val="caption"/>
    <w:basedOn w:val="1"/>
    <w:next w:val="1"/>
    <w:autoRedefine/>
    <w:qFormat/>
    <w:uiPriority w:val="0"/>
    <w:rPr>
      <w:rFonts w:ascii="Cambria" w:hAnsi="Cambria" w:eastAsia="黑体"/>
      <w:sz w:val="20"/>
      <w:szCs w:val="20"/>
    </w:rPr>
  </w:style>
  <w:style w:type="paragraph" w:styleId="7">
    <w:name w:val="annotation text"/>
    <w:basedOn w:val="1"/>
    <w:autoRedefine/>
    <w:semiHidden/>
    <w:unhideWhenUsed/>
    <w:qFormat/>
    <w:uiPriority w:val="99"/>
    <w:pPr>
      <w:jc w:val="left"/>
    </w:pPr>
  </w:style>
  <w:style w:type="paragraph" w:styleId="8">
    <w:name w:val="Body Text"/>
    <w:basedOn w:val="1"/>
    <w:next w:val="1"/>
    <w:link w:val="35"/>
    <w:autoRedefine/>
    <w:semiHidden/>
    <w:qFormat/>
    <w:uiPriority w:val="0"/>
    <w:rPr>
      <w:rFonts w:ascii="宋体" w:hAnsi="宋体" w:eastAsia="宋体" w:cs="宋体"/>
    </w:rPr>
  </w:style>
  <w:style w:type="paragraph" w:styleId="9">
    <w:name w:val="Body Text Indent"/>
    <w:basedOn w:val="1"/>
    <w:next w:val="10"/>
    <w:autoRedefine/>
    <w:qFormat/>
    <w:uiPriority w:val="99"/>
    <w:pPr>
      <w:spacing w:after="120"/>
      <w:ind w:left="420" w:leftChars="200"/>
    </w:pPr>
    <w:rPr>
      <w:sz w:val="24"/>
      <w:szCs w:val="20"/>
    </w:rPr>
  </w:style>
  <w:style w:type="paragraph" w:styleId="10">
    <w:name w:val="envelope return"/>
    <w:basedOn w:val="1"/>
    <w:autoRedefine/>
    <w:qFormat/>
    <w:uiPriority w:val="0"/>
    <w:pPr>
      <w:snapToGrid w:val="0"/>
    </w:pPr>
    <w:rPr>
      <w:rFonts w:ascii="Arial" w:hAnsi="Arial"/>
    </w:rPr>
  </w:style>
  <w:style w:type="paragraph" w:styleId="11">
    <w:name w:val="toc 3"/>
    <w:basedOn w:val="1"/>
    <w:next w:val="1"/>
    <w:autoRedefine/>
    <w:unhideWhenUsed/>
    <w:qFormat/>
    <w:uiPriority w:val="39"/>
    <w:pPr>
      <w:ind w:left="840" w:leftChars="400"/>
    </w:pPr>
  </w:style>
  <w:style w:type="paragraph" w:styleId="12">
    <w:name w:val="Plain Text"/>
    <w:basedOn w:val="1"/>
    <w:autoRedefine/>
    <w:qFormat/>
    <w:uiPriority w:val="0"/>
    <w:rPr>
      <w:rFonts w:ascii="宋体" w:hAnsi="Courier New" w:cs="Courier New"/>
      <w:szCs w:val="21"/>
    </w:rPr>
  </w:style>
  <w:style w:type="paragraph" w:styleId="13">
    <w:name w:val="Balloon Text"/>
    <w:basedOn w:val="1"/>
    <w:link w:val="32"/>
    <w:autoRedefine/>
    <w:semiHidden/>
    <w:unhideWhenUsed/>
    <w:qFormat/>
    <w:uiPriority w:val="99"/>
    <w:rPr>
      <w:sz w:val="18"/>
      <w:szCs w:val="18"/>
    </w:rPr>
  </w:style>
  <w:style w:type="paragraph" w:styleId="14">
    <w:name w:val="footer"/>
    <w:basedOn w:val="1"/>
    <w:link w:val="31"/>
    <w:autoRedefine/>
    <w:unhideWhenUsed/>
    <w:qFormat/>
    <w:uiPriority w:val="99"/>
    <w:pPr>
      <w:tabs>
        <w:tab w:val="center" w:pos="4153"/>
        <w:tab w:val="right" w:pos="8306"/>
      </w:tabs>
    </w:pPr>
    <w:rPr>
      <w:sz w:val="18"/>
      <w:szCs w:val="18"/>
    </w:rPr>
  </w:style>
  <w:style w:type="paragraph" w:styleId="15">
    <w:name w:val="header"/>
    <w:basedOn w:val="1"/>
    <w:link w:val="30"/>
    <w:autoRedefine/>
    <w:semiHidden/>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autoRedefine/>
    <w:unhideWhenUsed/>
    <w:qFormat/>
    <w:uiPriority w:val="39"/>
  </w:style>
  <w:style w:type="paragraph" w:styleId="17">
    <w:name w:val="toc 2"/>
    <w:basedOn w:val="1"/>
    <w:next w:val="1"/>
    <w:autoRedefine/>
    <w:unhideWhenUsed/>
    <w:qFormat/>
    <w:uiPriority w:val="39"/>
    <w:pPr>
      <w:ind w:left="420" w:leftChars="200"/>
    </w:pPr>
  </w:style>
  <w:style w:type="paragraph" w:styleId="18">
    <w:name w:val="Body Text 2"/>
    <w:basedOn w:val="1"/>
    <w:autoRedefine/>
    <w:qFormat/>
    <w:uiPriority w:val="0"/>
    <w:pPr>
      <w:spacing w:after="120" w:afterLines="0" w:line="480" w:lineRule="auto"/>
    </w:pPr>
  </w:style>
  <w:style w:type="paragraph" w:styleId="19">
    <w:name w:val="Normal (Web)"/>
    <w:basedOn w:val="1"/>
    <w:autoRedefine/>
    <w:qFormat/>
    <w:uiPriority w:val="99"/>
    <w:pPr>
      <w:widowControl/>
      <w:spacing w:before="100" w:beforeLines="0" w:beforeAutospacing="1" w:after="100" w:afterLines="0" w:afterAutospacing="1"/>
      <w:jc w:val="left"/>
    </w:pPr>
    <w:rPr>
      <w:rFonts w:ascii="宋体" w:hAnsi="宋体" w:eastAsia="宋体" w:cs="Times New Roman"/>
      <w:kern w:val="0"/>
      <w:sz w:val="24"/>
      <w:szCs w:val="24"/>
    </w:rPr>
  </w:style>
  <w:style w:type="paragraph" w:styleId="20">
    <w:name w:val="Title"/>
    <w:basedOn w:val="1"/>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21">
    <w:name w:val="Body Text First Indent"/>
    <w:basedOn w:val="8"/>
    <w:autoRedefine/>
    <w:qFormat/>
    <w:uiPriority w:val="99"/>
    <w:pPr>
      <w:ind w:firstLine="420" w:firstLineChars="100"/>
    </w:pPr>
  </w:style>
  <w:style w:type="paragraph" w:styleId="22">
    <w:name w:val="Body Text First Indent 2"/>
    <w:basedOn w:val="9"/>
    <w:next w:val="1"/>
    <w:autoRedefine/>
    <w:unhideWhenUsed/>
    <w:qFormat/>
    <w:uiPriority w:val="99"/>
    <w:pPr>
      <w:ind w:firstLine="420" w:firstLineChars="200"/>
    </w:pPr>
    <w:rPr>
      <w:sz w:val="21"/>
      <w:szCs w:val="24"/>
    </w:rPr>
  </w:style>
  <w:style w:type="table" w:styleId="24">
    <w:name w:val="Table Grid"/>
    <w:basedOn w:val="23"/>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Hyperlink"/>
    <w:basedOn w:val="25"/>
    <w:autoRedefine/>
    <w:unhideWhenUsed/>
    <w:qFormat/>
    <w:uiPriority w:val="99"/>
    <w:rPr>
      <w:color w:val="0000FF" w:themeColor="hyperlink"/>
      <w:u w:val="single"/>
    </w:rPr>
  </w:style>
  <w:style w:type="paragraph" w:customStyle="1" w:styleId="27">
    <w:name w:val="style4"/>
    <w:basedOn w:val="1"/>
    <w:next w:val="28"/>
    <w:autoRedefine/>
    <w:qFormat/>
    <w:uiPriority w:val="0"/>
    <w:pPr>
      <w:widowControl/>
      <w:spacing w:before="280" w:after="280"/>
    </w:pPr>
    <w:rPr>
      <w:rFonts w:ascii="宋体" w:hAnsi="Calibri"/>
      <w:sz w:val="18"/>
    </w:rPr>
  </w:style>
  <w:style w:type="paragraph" w:customStyle="1" w:styleId="28">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styleId="29">
    <w:name w:val="No Spacing"/>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0">
    <w:name w:val="页眉 Char"/>
    <w:basedOn w:val="25"/>
    <w:link w:val="15"/>
    <w:autoRedefine/>
    <w:semiHidden/>
    <w:qFormat/>
    <w:uiPriority w:val="99"/>
    <w:rPr>
      <w:sz w:val="18"/>
      <w:szCs w:val="18"/>
    </w:rPr>
  </w:style>
  <w:style w:type="character" w:customStyle="1" w:styleId="31">
    <w:name w:val="页脚 Char"/>
    <w:basedOn w:val="25"/>
    <w:link w:val="14"/>
    <w:autoRedefine/>
    <w:qFormat/>
    <w:uiPriority w:val="99"/>
    <w:rPr>
      <w:sz w:val="18"/>
      <w:szCs w:val="18"/>
    </w:rPr>
  </w:style>
  <w:style w:type="character" w:customStyle="1" w:styleId="32">
    <w:name w:val="批注框文本 Char"/>
    <w:basedOn w:val="25"/>
    <w:link w:val="13"/>
    <w:autoRedefine/>
    <w:semiHidden/>
    <w:qFormat/>
    <w:uiPriority w:val="99"/>
    <w:rPr>
      <w:rFonts w:ascii="Arial" w:hAnsi="Arial" w:cs="Arial"/>
      <w:snapToGrid w:val="0"/>
      <w:color w:val="000000"/>
      <w:kern w:val="0"/>
      <w:sz w:val="18"/>
      <w:szCs w:val="18"/>
      <w:lang w:eastAsia="en-US"/>
    </w:rPr>
  </w:style>
  <w:style w:type="character" w:customStyle="1" w:styleId="33">
    <w:name w:val="标题 1 Char"/>
    <w:basedOn w:val="25"/>
    <w:link w:val="5"/>
    <w:autoRedefine/>
    <w:qFormat/>
    <w:uiPriority w:val="9"/>
    <w:rPr>
      <w:rFonts w:ascii="Arial" w:hAnsi="Arial" w:cs="Arial"/>
      <w:b/>
      <w:bCs/>
      <w:snapToGrid w:val="0"/>
      <w:color w:val="000000"/>
      <w:kern w:val="44"/>
      <w:sz w:val="44"/>
      <w:szCs w:val="44"/>
      <w:lang w:eastAsia="en-US"/>
    </w:rPr>
  </w:style>
  <w:style w:type="table" w:customStyle="1" w:styleId="34">
    <w:name w:val="Table Normal"/>
    <w:autoRedefine/>
    <w:semiHidden/>
    <w:unhideWhenUsed/>
    <w:qFormat/>
    <w:uiPriority w:val="0"/>
    <w:rPr>
      <w:rFonts w:ascii="Arial" w:hAnsi="Arial" w:cs="Arial"/>
      <w:snapToGrid w:val="0"/>
      <w:color w:val="000000"/>
      <w:kern w:val="0"/>
      <w:szCs w:val="21"/>
      <w:lang w:eastAsia="en-US"/>
    </w:rPr>
    <w:tblPr>
      <w:tblCellMar>
        <w:top w:w="0" w:type="dxa"/>
        <w:left w:w="0" w:type="dxa"/>
        <w:bottom w:w="0" w:type="dxa"/>
        <w:right w:w="0" w:type="dxa"/>
      </w:tblCellMar>
    </w:tblPr>
  </w:style>
  <w:style w:type="character" w:customStyle="1" w:styleId="35">
    <w:name w:val="正文文本 Char"/>
    <w:basedOn w:val="25"/>
    <w:link w:val="8"/>
    <w:autoRedefine/>
    <w:semiHidden/>
    <w:qFormat/>
    <w:uiPriority w:val="0"/>
    <w:rPr>
      <w:rFonts w:ascii="宋体" w:hAnsi="宋体" w:eastAsia="宋体" w:cs="宋体"/>
      <w:snapToGrid w:val="0"/>
      <w:color w:val="000000"/>
      <w:kern w:val="0"/>
      <w:szCs w:val="21"/>
      <w:lang w:eastAsia="en-US"/>
    </w:rPr>
  </w:style>
  <w:style w:type="paragraph" w:customStyle="1" w:styleId="36">
    <w:name w:val="TOC Heading"/>
    <w:basedOn w:val="5"/>
    <w:next w:val="1"/>
    <w:autoRedefine/>
    <w:semiHidden/>
    <w:unhideWhenUsed/>
    <w:qFormat/>
    <w:uiPriority w:val="39"/>
    <w:pPr>
      <w:kinsoku/>
      <w:autoSpaceDE/>
      <w:autoSpaceDN/>
      <w:adjustRightInd/>
      <w:snapToGrid/>
      <w:spacing w:before="480" w:after="0" w:line="276" w:lineRule="auto"/>
      <w:textAlignment w:val="auto"/>
      <w:outlineLvl w:val="9"/>
    </w:pPr>
    <w:rPr>
      <w:rFonts w:asciiTheme="majorHAnsi" w:hAnsiTheme="majorHAnsi" w:eastAsiaTheme="majorEastAsia" w:cstheme="majorBidi"/>
      <w:snapToGrid/>
      <w:color w:val="366091" w:themeColor="accent1" w:themeShade="BF"/>
      <w:kern w:val="0"/>
      <w:sz w:val="28"/>
      <w:szCs w:val="28"/>
      <w:lang w:eastAsia="zh-CN"/>
    </w:rPr>
  </w:style>
  <w:style w:type="paragraph" w:styleId="37">
    <w:name w:val="List Paragraph"/>
    <w:basedOn w:val="1"/>
    <w:autoRedefine/>
    <w:qFormat/>
    <w:uiPriority w:val="34"/>
    <w:pPr>
      <w:ind w:firstLine="420" w:firstLineChars="200"/>
    </w:pPr>
    <w:rPr>
      <w:rFonts w:asciiTheme="minorHAnsi" w:hAnsiTheme="minorHAnsi" w:eastAsiaTheme="minorEastAsia" w:cstheme="minorBidi"/>
      <w:szCs w:val="22"/>
    </w:rPr>
  </w:style>
  <w:style w:type="character" w:customStyle="1" w:styleId="38">
    <w:name w:val="font11"/>
    <w:basedOn w:val="25"/>
    <w:autoRedefine/>
    <w:qFormat/>
    <w:uiPriority w:val="0"/>
    <w:rPr>
      <w:rFonts w:hint="eastAsia" w:ascii="宋体" w:hAnsi="宋体" w:eastAsia="宋体" w:cs="宋体"/>
      <w:color w:val="000000"/>
      <w:sz w:val="20"/>
      <w:szCs w:val="20"/>
      <w:u w:val="none"/>
    </w:rPr>
  </w:style>
  <w:style w:type="character" w:customStyle="1" w:styleId="39">
    <w:name w:val="font21"/>
    <w:basedOn w:val="25"/>
    <w:autoRedefine/>
    <w:qFormat/>
    <w:uiPriority w:val="0"/>
    <w:rPr>
      <w:rFonts w:hint="eastAsia" w:ascii="宋体" w:hAnsi="宋体" w:eastAsia="宋体" w:cs="宋体"/>
      <w:color w:val="000000"/>
      <w:sz w:val="22"/>
      <w:szCs w:val="22"/>
      <w:u w:val="none"/>
    </w:rPr>
  </w:style>
  <w:style w:type="paragraph" w:customStyle="1" w:styleId="40">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正文文本_1"/>
    <w:basedOn w:val="3"/>
    <w:next w:val="42"/>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42">
    <w:name w:val="Default_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3">
    <w:name w:val="标题 1 字符"/>
    <w:link w:val="5"/>
    <w:autoRedefine/>
    <w:qFormat/>
    <w:uiPriority w:val="0"/>
    <w:rPr>
      <w:rFonts w:ascii="Times New Roman" w:hAnsi="Times New Roman" w:eastAsia="宋体" w:cs="Times New Roman"/>
      <w:kern w:val="2"/>
      <w:sz w:val="3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31878F-928E-4672-903F-6E46BC47547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87</Pages>
  <Words>36781</Words>
  <Characters>39472</Characters>
  <Lines>290</Lines>
  <Paragraphs>81</Paragraphs>
  <TotalTime>2</TotalTime>
  <ScaleCrop>false</ScaleCrop>
  <LinksUpToDate>false</LinksUpToDate>
  <CharactersWithSpaces>45387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2023-11-28T05:38:00Z</dcterms:created>
  <dc:creator>河南华豫正大工程咨询有限公司:王艳艳</dc:creator>
  <cp:lastModifiedBy>橙子。</cp:lastModifiedBy>
  <dcterms:modified xsi:type="dcterms:W3CDTF">2024-10-23T01:49:22Z</dcterms:modified>
  <cp:revision>306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72DC1CDD2EDD47EDB32210F2E4F47D12_12</vt:lpwstr>
  </property>
</Properties>
</file>